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3257" w14:textId="5E775029" w:rsidR="009115B4" w:rsidRDefault="009115B4" w:rsidP="003B3AC4">
      <w:pPr>
        <w:pStyle w:val="Sous-titre"/>
        <w:rPr>
          <w:b/>
          <w:i w:val="0"/>
          <w:iCs w:val="0"/>
          <w:sz w:val="28"/>
          <w:szCs w:val="28"/>
        </w:rPr>
      </w:pPr>
      <w:r w:rsidRPr="009115B4">
        <w:rPr>
          <w:b/>
          <w:i w:val="0"/>
          <w:iCs w:val="0"/>
          <w:sz w:val="28"/>
          <w:szCs w:val="28"/>
        </w:rPr>
        <w:t>Réflex</w:t>
      </w:r>
      <w:r w:rsidR="00A23131">
        <w:rPr>
          <w:b/>
          <w:i w:val="0"/>
          <w:iCs w:val="0"/>
          <w:sz w:val="28"/>
          <w:szCs w:val="28"/>
        </w:rPr>
        <w:t>i</w:t>
      </w:r>
      <w:r w:rsidRPr="009115B4">
        <w:rPr>
          <w:b/>
          <w:i w:val="0"/>
          <w:iCs w:val="0"/>
          <w:sz w:val="28"/>
          <w:szCs w:val="28"/>
        </w:rPr>
        <w:t>on sur plusieurs croyances liées aux choix d’orientation</w:t>
      </w:r>
    </w:p>
    <w:p w14:paraId="770BF63C" w14:textId="17554E6C" w:rsidR="005D5112" w:rsidRDefault="005D5112" w:rsidP="003B3AC4">
      <w:pPr>
        <w:pStyle w:val="Sous-titre"/>
        <w:rPr>
          <w:b/>
          <w:i w:val="0"/>
          <w:iCs w:val="0"/>
          <w:sz w:val="28"/>
          <w:szCs w:val="28"/>
        </w:rPr>
      </w:pPr>
      <w:r w:rsidRPr="005D5112">
        <w:rPr>
          <w:b/>
          <w:i w:val="0"/>
          <w:iCs w:val="0"/>
          <w:sz w:val="28"/>
          <w:szCs w:val="28"/>
        </w:rPr>
        <w:t>Définition des croyances et intentions de la séquence</w:t>
      </w:r>
    </w:p>
    <w:p w14:paraId="29D193D7" w14:textId="7303E242" w:rsidR="00C11DA5" w:rsidRPr="00106135" w:rsidRDefault="00C11DA5" w:rsidP="003B3AC4">
      <w:pPr>
        <w:pStyle w:val="Sous-titre"/>
        <w:rPr>
          <w:i w:val="0"/>
          <w:iCs w:val="0"/>
          <w:sz w:val="20"/>
          <w:szCs w:val="20"/>
        </w:rPr>
      </w:pPr>
      <w:proofErr w:type="gramStart"/>
      <w:r w:rsidRPr="00106135">
        <w:rPr>
          <w:i w:val="0"/>
          <w:iCs w:val="0"/>
          <w:sz w:val="20"/>
          <w:szCs w:val="20"/>
        </w:rPr>
        <w:t xml:space="preserve">Fiche </w:t>
      </w:r>
      <w:r w:rsidR="005D5112" w:rsidRPr="00106135">
        <w:rPr>
          <w:i w:val="0"/>
          <w:iCs w:val="0"/>
          <w:sz w:val="20"/>
          <w:szCs w:val="20"/>
        </w:rPr>
        <w:t>enseignant</w:t>
      </w:r>
      <w:proofErr w:type="gramEnd"/>
    </w:p>
    <w:p w14:paraId="68217AAA" w14:textId="49FBC2E8" w:rsidR="00C11DA5" w:rsidRDefault="00C11DA5" w:rsidP="003B3AC4"/>
    <w:p w14:paraId="13C2E490" w14:textId="77777777" w:rsidR="00221E39" w:rsidRPr="00106135" w:rsidRDefault="00221E39" w:rsidP="00221E39">
      <w:pPr>
        <w:pStyle w:val="Titre1"/>
        <w:rPr>
          <w:sz w:val="20"/>
          <w:szCs w:val="20"/>
        </w:rPr>
      </w:pPr>
      <w:r w:rsidRPr="00106135">
        <w:rPr>
          <w:sz w:val="20"/>
          <w:szCs w:val="20"/>
        </w:rPr>
        <w:t>Expliquer aux élèves à quoi peut leur servir cette séquence</w:t>
      </w:r>
    </w:p>
    <w:p w14:paraId="5A712562" w14:textId="77777777" w:rsidR="00221E39" w:rsidRPr="00106135" w:rsidRDefault="00221E39" w:rsidP="003B3AC4">
      <w:pPr>
        <w:rPr>
          <w:sz w:val="20"/>
          <w:szCs w:val="20"/>
          <w:lang w:val="fr"/>
        </w:rPr>
      </w:pPr>
    </w:p>
    <w:p w14:paraId="0A42D725" w14:textId="77777777" w:rsidR="00221E39" w:rsidRPr="00106135" w:rsidRDefault="00221E39" w:rsidP="00221E39">
      <w:pPr>
        <w:rPr>
          <w:sz w:val="20"/>
          <w:szCs w:val="20"/>
        </w:rPr>
      </w:pPr>
      <w:r w:rsidRPr="00106135">
        <w:rPr>
          <w:sz w:val="20"/>
          <w:szCs w:val="20"/>
        </w:rPr>
        <w:t xml:space="preserve">La combinaison entre les temps le travail individuel le débats en groupe classe permettront : </w:t>
      </w:r>
    </w:p>
    <w:p w14:paraId="026A4970" w14:textId="7837BB51" w:rsidR="00221E39" w:rsidRPr="00106135" w:rsidRDefault="00221E39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de</w:t>
      </w:r>
      <w:proofErr w:type="gramEnd"/>
      <w:r w:rsidRPr="00106135">
        <w:rPr>
          <w:sz w:val="20"/>
          <w:szCs w:val="20"/>
        </w:rPr>
        <w:t xml:space="preserve"> rendre visible plusieurs croyances jugées peu propices à la construction d’une trajectoire d’orientation,</w:t>
      </w:r>
    </w:p>
    <w:p w14:paraId="77E98AA4" w14:textId="375DAA37" w:rsidR="00221E39" w:rsidRPr="00106135" w:rsidRDefault="00221E39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d’identifier</w:t>
      </w:r>
      <w:proofErr w:type="gramEnd"/>
      <w:r w:rsidRPr="00106135">
        <w:rPr>
          <w:sz w:val="20"/>
          <w:szCs w:val="20"/>
        </w:rPr>
        <w:t xml:space="preserve"> les croyances en orientation qui semblent les plus opérantes pour soi,</w:t>
      </w:r>
    </w:p>
    <w:p w14:paraId="5578B0FC" w14:textId="17A58EE6" w:rsidR="00221E39" w:rsidRPr="00106135" w:rsidRDefault="00221E39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de</w:t>
      </w:r>
      <w:proofErr w:type="gramEnd"/>
      <w:r w:rsidRPr="00106135">
        <w:rPr>
          <w:sz w:val="20"/>
          <w:szCs w:val="20"/>
        </w:rPr>
        <w:t xml:space="preserve"> réfléchir aux motifs personnels qui sous-tendent ces croyances,</w:t>
      </w:r>
    </w:p>
    <w:p w14:paraId="122A93AF" w14:textId="40FDE7F1" w:rsidR="00221E39" w:rsidRPr="00106135" w:rsidRDefault="00221E39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d’estimer</w:t>
      </w:r>
      <w:proofErr w:type="gramEnd"/>
      <w:r w:rsidRPr="00106135">
        <w:rPr>
          <w:sz w:val="20"/>
          <w:szCs w:val="20"/>
        </w:rPr>
        <w:t xml:space="preserve"> le niveau de risque associé au maintien de ces croyances</w:t>
      </w:r>
      <w:r w:rsidR="000E30AC" w:rsidRPr="00106135">
        <w:rPr>
          <w:sz w:val="20"/>
          <w:szCs w:val="20"/>
        </w:rPr>
        <w:t>,</w:t>
      </w:r>
    </w:p>
    <w:p w14:paraId="067055C7" w14:textId="6848B952" w:rsidR="00221E39" w:rsidRPr="00106135" w:rsidRDefault="00221E39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en</w:t>
      </w:r>
      <w:proofErr w:type="gramEnd"/>
      <w:r w:rsidRPr="00106135">
        <w:rPr>
          <w:sz w:val="20"/>
          <w:szCs w:val="20"/>
        </w:rPr>
        <w:t xml:space="preserve"> quoi elles sont un frein pour s’engager dans certaines filières,</w:t>
      </w:r>
    </w:p>
    <w:p w14:paraId="1E97656C" w14:textId="2BAE202D" w:rsidR="00221E39" w:rsidRPr="00106135" w:rsidRDefault="00221E39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en</w:t>
      </w:r>
      <w:proofErr w:type="gramEnd"/>
      <w:r w:rsidRPr="00106135">
        <w:rPr>
          <w:sz w:val="20"/>
          <w:szCs w:val="20"/>
        </w:rPr>
        <w:t xml:space="preserve"> quoi elles constituent un obstacle à la prise de décision,</w:t>
      </w:r>
    </w:p>
    <w:p w14:paraId="311AA791" w14:textId="16E1CC12" w:rsidR="00221E39" w:rsidRPr="00106135" w:rsidRDefault="00221E39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de</w:t>
      </w:r>
      <w:proofErr w:type="gramEnd"/>
      <w:r w:rsidRPr="00106135">
        <w:rPr>
          <w:sz w:val="20"/>
          <w:szCs w:val="20"/>
        </w:rPr>
        <w:t xml:space="preserve"> faire appara</w:t>
      </w:r>
      <w:r w:rsidR="000E30AC" w:rsidRPr="00106135">
        <w:rPr>
          <w:sz w:val="20"/>
          <w:szCs w:val="20"/>
        </w:rPr>
        <w:t>î</w:t>
      </w:r>
      <w:r w:rsidRPr="00106135">
        <w:rPr>
          <w:sz w:val="20"/>
          <w:szCs w:val="20"/>
        </w:rPr>
        <w:t>tre des pistes, des solutions pour transformer ces croyances</w:t>
      </w:r>
    </w:p>
    <w:p w14:paraId="669B3C84" w14:textId="77777777" w:rsidR="00221E39" w:rsidRPr="00106135" w:rsidRDefault="00221E39" w:rsidP="00221E39">
      <w:pPr>
        <w:rPr>
          <w:sz w:val="20"/>
          <w:szCs w:val="20"/>
        </w:rPr>
      </w:pPr>
    </w:p>
    <w:p w14:paraId="26B41125" w14:textId="77777777" w:rsidR="00221E39" w:rsidRPr="00106135" w:rsidRDefault="00221E39" w:rsidP="00221E39">
      <w:pPr>
        <w:rPr>
          <w:sz w:val="20"/>
          <w:szCs w:val="20"/>
        </w:rPr>
      </w:pPr>
      <w:r w:rsidRPr="00106135">
        <w:rPr>
          <w:sz w:val="20"/>
          <w:szCs w:val="20"/>
        </w:rPr>
        <w:t>Nous ne chercherons pas substituer aux croyances existantes d’autres idées jugées plus acceptables :  cela s’apparenterait à de la persuasion sociale et n’aurait que peu de prise sur les élèves. En revanche, nous rechercherons la prise de conscience du caractère limité ou limitant de ces croyances, condition indispensable à un ajustement progressif.</w:t>
      </w:r>
    </w:p>
    <w:p w14:paraId="2BBEA7D8" w14:textId="5C2F855F" w:rsidR="00221E39" w:rsidRPr="00106135" w:rsidRDefault="00221E39" w:rsidP="00221E39">
      <w:pPr>
        <w:rPr>
          <w:sz w:val="20"/>
          <w:szCs w:val="20"/>
        </w:rPr>
      </w:pPr>
    </w:p>
    <w:p w14:paraId="261C8300" w14:textId="77777777" w:rsidR="000E30AC" w:rsidRPr="00106135" w:rsidRDefault="000E30AC" w:rsidP="00221E39">
      <w:pPr>
        <w:rPr>
          <w:sz w:val="20"/>
          <w:szCs w:val="20"/>
        </w:rPr>
      </w:pPr>
    </w:p>
    <w:p w14:paraId="4E344243" w14:textId="77777777" w:rsidR="00221E39" w:rsidRPr="00106135" w:rsidRDefault="00221E39" w:rsidP="00221E39">
      <w:pPr>
        <w:pStyle w:val="Titre1"/>
        <w:rPr>
          <w:sz w:val="20"/>
          <w:szCs w:val="20"/>
        </w:rPr>
      </w:pPr>
      <w:r w:rsidRPr="00106135">
        <w:rPr>
          <w:sz w:val="20"/>
          <w:szCs w:val="20"/>
        </w:rPr>
        <w:t>Proposition d’une définition des croyances négatives ou dysfonctionnelles</w:t>
      </w:r>
    </w:p>
    <w:p w14:paraId="45DED856" w14:textId="77777777" w:rsidR="00221E39" w:rsidRPr="00106135" w:rsidRDefault="00221E39" w:rsidP="00221E39">
      <w:pPr>
        <w:rPr>
          <w:sz w:val="20"/>
          <w:szCs w:val="20"/>
        </w:rPr>
      </w:pPr>
    </w:p>
    <w:p w14:paraId="111E2679" w14:textId="0A9DF722" w:rsidR="00221E39" w:rsidRPr="00106135" w:rsidRDefault="00221E39" w:rsidP="00221E39">
      <w:pPr>
        <w:rPr>
          <w:sz w:val="20"/>
          <w:szCs w:val="20"/>
        </w:rPr>
      </w:pPr>
      <w:r w:rsidRPr="00106135">
        <w:rPr>
          <w:sz w:val="20"/>
          <w:szCs w:val="20"/>
        </w:rPr>
        <w:t>« Dans le champ de la psychologique du conseil et de l'orientation les croyances dysfonctionnelles font référence aux attentes irrationnelles que les individus peuvent entretenir à l'égard du choix professionnel (</w:t>
      </w:r>
      <w:proofErr w:type="spellStart"/>
      <w:r w:rsidRPr="00106135">
        <w:rPr>
          <w:sz w:val="20"/>
          <w:szCs w:val="20"/>
        </w:rPr>
        <w:t>Gati</w:t>
      </w:r>
      <w:proofErr w:type="spellEnd"/>
      <w:r w:rsidRPr="00106135">
        <w:rPr>
          <w:sz w:val="20"/>
          <w:szCs w:val="20"/>
        </w:rPr>
        <w:t xml:space="preserve"> et al., 1996). » (Rochat, 2019, p.89)</w:t>
      </w:r>
    </w:p>
    <w:p w14:paraId="691E7CA3" w14:textId="77777777" w:rsidR="00221E39" w:rsidRPr="00106135" w:rsidRDefault="00221E39" w:rsidP="00221E39">
      <w:pPr>
        <w:rPr>
          <w:sz w:val="20"/>
          <w:szCs w:val="20"/>
        </w:rPr>
      </w:pPr>
    </w:p>
    <w:p w14:paraId="4CB6B185" w14:textId="77777777" w:rsidR="00221E39" w:rsidRPr="00106135" w:rsidRDefault="00221E39" w:rsidP="00221E39">
      <w:pPr>
        <w:rPr>
          <w:sz w:val="20"/>
          <w:szCs w:val="20"/>
        </w:rPr>
      </w:pPr>
      <w:r w:rsidRPr="00106135">
        <w:rPr>
          <w:sz w:val="20"/>
          <w:szCs w:val="20"/>
        </w:rPr>
        <w:t>« Les croyances peuvent porter sur différents aspects :</w:t>
      </w:r>
    </w:p>
    <w:p w14:paraId="17C512B0" w14:textId="0C13C632" w:rsidR="00221E39" w:rsidRPr="00106135" w:rsidRDefault="000E30AC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l</w:t>
      </w:r>
      <w:r w:rsidR="00221E39" w:rsidRPr="00106135">
        <w:rPr>
          <w:sz w:val="20"/>
          <w:szCs w:val="20"/>
        </w:rPr>
        <w:t>e</w:t>
      </w:r>
      <w:proofErr w:type="gramEnd"/>
      <w:r w:rsidR="00221E39" w:rsidRPr="00106135">
        <w:rPr>
          <w:sz w:val="20"/>
          <w:szCs w:val="20"/>
        </w:rPr>
        <w:t xml:space="preserve"> caractère critique du choix</w:t>
      </w:r>
    </w:p>
    <w:p w14:paraId="7E6A9578" w14:textId="41305456" w:rsidR="00221E39" w:rsidRPr="00106135" w:rsidRDefault="000E30AC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l</w:t>
      </w:r>
      <w:r w:rsidR="00221E39" w:rsidRPr="00106135">
        <w:rPr>
          <w:sz w:val="20"/>
          <w:szCs w:val="20"/>
        </w:rPr>
        <w:t>e</w:t>
      </w:r>
      <w:proofErr w:type="gramEnd"/>
      <w:r w:rsidR="00221E39" w:rsidRPr="00106135">
        <w:rPr>
          <w:sz w:val="20"/>
          <w:szCs w:val="20"/>
        </w:rPr>
        <w:t xml:space="preserve"> rôle tenu par la chance ou le destin dans ce processus</w:t>
      </w:r>
    </w:p>
    <w:p w14:paraId="59F50AE3" w14:textId="4B3D3907" w:rsidR="00221E39" w:rsidRPr="00106135" w:rsidRDefault="000E30AC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l</w:t>
      </w:r>
      <w:r w:rsidR="00221E39" w:rsidRPr="00106135">
        <w:rPr>
          <w:sz w:val="20"/>
          <w:szCs w:val="20"/>
        </w:rPr>
        <w:t>a</w:t>
      </w:r>
      <w:proofErr w:type="gramEnd"/>
      <w:r w:rsidR="00221E39" w:rsidRPr="00106135">
        <w:rPr>
          <w:sz w:val="20"/>
          <w:szCs w:val="20"/>
        </w:rPr>
        <w:t xml:space="preserve"> nature de l’aide qui peut être apportée par les professionnel</w:t>
      </w:r>
      <w:r w:rsidR="005A2038" w:rsidRPr="00106135">
        <w:rPr>
          <w:sz w:val="20"/>
          <w:szCs w:val="20"/>
        </w:rPr>
        <w:t>s et professionnelles d</w:t>
      </w:r>
      <w:r w:rsidR="00221E39" w:rsidRPr="00106135">
        <w:rPr>
          <w:sz w:val="20"/>
          <w:szCs w:val="20"/>
        </w:rPr>
        <w:t>e l’orientation</w:t>
      </w:r>
    </w:p>
    <w:p w14:paraId="28AF8EB1" w14:textId="4F52AF2A" w:rsidR="00221E39" w:rsidRPr="00106135" w:rsidRDefault="000E30AC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l</w:t>
      </w:r>
      <w:r w:rsidR="00221E39" w:rsidRPr="00106135">
        <w:rPr>
          <w:sz w:val="20"/>
          <w:szCs w:val="20"/>
        </w:rPr>
        <w:t>e</w:t>
      </w:r>
      <w:proofErr w:type="gramEnd"/>
      <w:r w:rsidR="00221E39" w:rsidRPr="00106135">
        <w:rPr>
          <w:sz w:val="20"/>
          <w:szCs w:val="20"/>
        </w:rPr>
        <w:t xml:space="preserve"> rôle des proches dans la prise de décision</w:t>
      </w:r>
    </w:p>
    <w:p w14:paraId="7201E92D" w14:textId="2F70086C" w:rsidR="00221E39" w:rsidRPr="00106135" w:rsidRDefault="000E30AC" w:rsidP="00221E39">
      <w:pPr>
        <w:pStyle w:val="Liste"/>
        <w:ind w:left="709" w:hanging="142"/>
        <w:rPr>
          <w:sz w:val="20"/>
          <w:szCs w:val="20"/>
        </w:rPr>
      </w:pPr>
      <w:proofErr w:type="gramStart"/>
      <w:r w:rsidRPr="00106135">
        <w:rPr>
          <w:sz w:val="20"/>
          <w:szCs w:val="20"/>
        </w:rPr>
        <w:t>l</w:t>
      </w:r>
      <w:r w:rsidR="00221E39" w:rsidRPr="00106135">
        <w:rPr>
          <w:sz w:val="20"/>
          <w:szCs w:val="20"/>
        </w:rPr>
        <w:t>es</w:t>
      </w:r>
      <w:proofErr w:type="gramEnd"/>
      <w:r w:rsidR="00221E39" w:rsidRPr="00106135">
        <w:rPr>
          <w:sz w:val="20"/>
          <w:szCs w:val="20"/>
        </w:rPr>
        <w:t xml:space="preserve"> stéréotypes de sexe entretenus à l’égard des métiers » (Rochat, 2019, p.89)</w:t>
      </w:r>
    </w:p>
    <w:p w14:paraId="6F9D8FAE" w14:textId="77777777" w:rsidR="00221E39" w:rsidRPr="00106135" w:rsidRDefault="00221E39" w:rsidP="00221E39">
      <w:pPr>
        <w:rPr>
          <w:sz w:val="20"/>
          <w:szCs w:val="20"/>
        </w:rPr>
      </w:pPr>
    </w:p>
    <w:p w14:paraId="4E5B4B1F" w14:textId="29C11709" w:rsidR="00221E39" w:rsidRPr="00106135" w:rsidRDefault="00221E39" w:rsidP="00221E39">
      <w:pPr>
        <w:rPr>
          <w:sz w:val="20"/>
          <w:szCs w:val="20"/>
        </w:rPr>
      </w:pPr>
      <w:r w:rsidRPr="00106135">
        <w:rPr>
          <w:sz w:val="20"/>
          <w:szCs w:val="20"/>
        </w:rPr>
        <w:t>Les personnes ne sont pas nécessairement conscientes du caractère dysfonctionnel, les croyances figurent au nombre des difficultés les plus sévères. Il est vain de chercher à les déconstruire en les confrontant directement (Rochat, 2019, p.90). « Aider les individus à prendre conscience du caractère limité ou limitant de cette croyance en employant diverses stratégies (métaphore, humour, absurde) » (Rochat, 2019, p.90).</w:t>
      </w:r>
    </w:p>
    <w:p w14:paraId="1F5DD422" w14:textId="77777777" w:rsidR="00221E39" w:rsidRPr="00106135" w:rsidRDefault="00221E39" w:rsidP="00221E39">
      <w:pPr>
        <w:rPr>
          <w:sz w:val="20"/>
          <w:szCs w:val="20"/>
        </w:rPr>
      </w:pPr>
    </w:p>
    <w:p w14:paraId="5F73F1AD" w14:textId="6D9FD718" w:rsidR="00221E39" w:rsidRPr="00106135" w:rsidRDefault="00221E39" w:rsidP="00221E39">
      <w:pPr>
        <w:rPr>
          <w:sz w:val="20"/>
          <w:szCs w:val="20"/>
        </w:rPr>
      </w:pPr>
      <w:r w:rsidRPr="00106135">
        <w:rPr>
          <w:sz w:val="20"/>
          <w:szCs w:val="20"/>
        </w:rPr>
        <w:t xml:space="preserve">Rochat, S. (2019). </w:t>
      </w:r>
      <w:r w:rsidRPr="00106135">
        <w:rPr>
          <w:i/>
          <w:iCs/>
          <w:sz w:val="20"/>
          <w:szCs w:val="20"/>
        </w:rPr>
        <w:t>L'art du conseil en orientation : une carte des interventions</w:t>
      </w:r>
      <w:r w:rsidRPr="00106135">
        <w:rPr>
          <w:sz w:val="20"/>
          <w:szCs w:val="20"/>
        </w:rPr>
        <w:t xml:space="preserve">. Éditions </w:t>
      </w:r>
      <w:proofErr w:type="spellStart"/>
      <w:r w:rsidRPr="00106135">
        <w:rPr>
          <w:sz w:val="20"/>
          <w:szCs w:val="20"/>
        </w:rPr>
        <w:t>Lucnia</w:t>
      </w:r>
      <w:proofErr w:type="spellEnd"/>
      <w:r w:rsidRPr="00106135">
        <w:rPr>
          <w:sz w:val="20"/>
          <w:szCs w:val="20"/>
        </w:rPr>
        <w:t>.</w:t>
      </w:r>
    </w:p>
    <w:sectPr w:rsidR="00221E39" w:rsidRPr="00106135" w:rsidSect="00286E4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87916" w14:textId="77777777" w:rsidR="006D6B1B" w:rsidRDefault="006D6B1B" w:rsidP="003B3AC4">
      <w:r>
        <w:separator/>
      </w:r>
    </w:p>
  </w:endnote>
  <w:endnote w:type="continuationSeparator" w:id="0">
    <w:p w14:paraId="191479C5" w14:textId="77777777" w:rsidR="006D6B1B" w:rsidRDefault="006D6B1B" w:rsidP="003B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A0EE7" w14:textId="546FA27F" w:rsidR="00106135" w:rsidRDefault="00106135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9B9BBC0" wp14:editId="456497E1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CCE1F" w14:textId="77777777" w:rsidR="006D6B1B" w:rsidRDefault="006D6B1B" w:rsidP="003B3AC4">
      <w:r>
        <w:separator/>
      </w:r>
    </w:p>
  </w:footnote>
  <w:footnote w:type="continuationSeparator" w:id="0">
    <w:p w14:paraId="6936BE65" w14:textId="77777777" w:rsidR="006D6B1B" w:rsidRDefault="006D6B1B" w:rsidP="003B3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7BC4E" w14:textId="77777777" w:rsidR="00607873" w:rsidRDefault="00000000" w:rsidP="003B3AC4">
    <w:pPr>
      <w:pStyle w:val="En-tte"/>
    </w:pPr>
    <w:r>
      <w:rPr>
        <w:noProof/>
      </w:rPr>
      <w:pict w14:anchorId="2427B1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left:0;text-align:left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AB7A9" w14:textId="247246D1" w:rsidR="00607873" w:rsidRDefault="00106135" w:rsidP="003B3AC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F1398CA" wp14:editId="3DD9678F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CC2A" w14:textId="77777777" w:rsidR="00607873" w:rsidRDefault="00000000" w:rsidP="003B3AC4">
    <w:pPr>
      <w:pStyle w:val="En-tte"/>
    </w:pPr>
    <w:r>
      <w:rPr>
        <w:noProof/>
      </w:rPr>
      <w:pict w14:anchorId="20ED12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left:0;text-align:left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522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688A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C95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FA47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C45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3E54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30D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A62A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767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402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01E28"/>
    <w:multiLevelType w:val="hybridMultilevel"/>
    <w:tmpl w:val="15DACEA6"/>
    <w:lvl w:ilvl="0" w:tplc="4C12CB5E">
      <w:numFmt w:val="bullet"/>
      <w:lvlText w:val="•"/>
      <w:lvlJc w:val="left"/>
      <w:pPr>
        <w:ind w:left="1770" w:hanging="705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07311126"/>
    <w:multiLevelType w:val="hybridMultilevel"/>
    <w:tmpl w:val="534E2E86"/>
    <w:lvl w:ilvl="0" w:tplc="4C12CB5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193B4C"/>
    <w:multiLevelType w:val="hybridMultilevel"/>
    <w:tmpl w:val="CC6023F6"/>
    <w:lvl w:ilvl="0" w:tplc="1D28D1D4">
      <w:numFmt w:val="bullet"/>
      <w:pStyle w:val="Liste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5E14FAA"/>
    <w:multiLevelType w:val="hybridMultilevel"/>
    <w:tmpl w:val="8682B1BA"/>
    <w:lvl w:ilvl="0" w:tplc="8A36D0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E1308"/>
    <w:multiLevelType w:val="hybridMultilevel"/>
    <w:tmpl w:val="B950B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2A6A03"/>
    <w:multiLevelType w:val="hybridMultilevel"/>
    <w:tmpl w:val="7338A67A"/>
    <w:lvl w:ilvl="0" w:tplc="B47A2646">
      <w:start w:val="1"/>
      <w:numFmt w:val="bullet"/>
      <w:lvlText w:val="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C198B"/>
    <w:multiLevelType w:val="hybridMultilevel"/>
    <w:tmpl w:val="5FA471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643456">
    <w:abstractNumId w:val="13"/>
  </w:num>
  <w:num w:numId="2" w16cid:durableId="1064328550">
    <w:abstractNumId w:val="15"/>
  </w:num>
  <w:num w:numId="3" w16cid:durableId="1721244112">
    <w:abstractNumId w:val="13"/>
  </w:num>
  <w:num w:numId="4" w16cid:durableId="1825272651">
    <w:abstractNumId w:val="16"/>
  </w:num>
  <w:num w:numId="5" w16cid:durableId="1216046302">
    <w:abstractNumId w:val="9"/>
  </w:num>
  <w:num w:numId="6" w16cid:durableId="1003507688">
    <w:abstractNumId w:val="8"/>
  </w:num>
  <w:num w:numId="7" w16cid:durableId="1611933003">
    <w:abstractNumId w:val="3"/>
  </w:num>
  <w:num w:numId="8" w16cid:durableId="1129469525">
    <w:abstractNumId w:val="2"/>
  </w:num>
  <w:num w:numId="9" w16cid:durableId="854464474">
    <w:abstractNumId w:val="1"/>
  </w:num>
  <w:num w:numId="10" w16cid:durableId="1151362327">
    <w:abstractNumId w:val="0"/>
  </w:num>
  <w:num w:numId="11" w16cid:durableId="1169490029">
    <w:abstractNumId w:val="7"/>
  </w:num>
  <w:num w:numId="12" w16cid:durableId="108163798">
    <w:abstractNumId w:val="6"/>
  </w:num>
  <w:num w:numId="13" w16cid:durableId="1535652879">
    <w:abstractNumId w:val="5"/>
  </w:num>
  <w:num w:numId="14" w16cid:durableId="22100521">
    <w:abstractNumId w:val="4"/>
  </w:num>
  <w:num w:numId="15" w16cid:durableId="1519659344">
    <w:abstractNumId w:val="14"/>
  </w:num>
  <w:num w:numId="16" w16cid:durableId="1424762541">
    <w:abstractNumId w:val="11"/>
  </w:num>
  <w:num w:numId="17" w16cid:durableId="1437872155">
    <w:abstractNumId w:val="10"/>
  </w:num>
  <w:num w:numId="18" w16cid:durableId="2022581393">
    <w:abstractNumId w:val="12"/>
  </w:num>
  <w:num w:numId="19" w16cid:durableId="816185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10571"/>
    <w:rsid w:val="000454D4"/>
    <w:rsid w:val="0007004B"/>
    <w:rsid w:val="00092AB1"/>
    <w:rsid w:val="00092B98"/>
    <w:rsid w:val="000A2343"/>
    <w:rsid w:val="000A742B"/>
    <w:rsid w:val="000C35A9"/>
    <w:rsid w:val="000C6B9E"/>
    <w:rsid w:val="000E30AC"/>
    <w:rsid w:val="000E67DA"/>
    <w:rsid w:val="001026B8"/>
    <w:rsid w:val="00106135"/>
    <w:rsid w:val="00106C1E"/>
    <w:rsid w:val="001103D7"/>
    <w:rsid w:val="00110E91"/>
    <w:rsid w:val="00125DEE"/>
    <w:rsid w:val="00127330"/>
    <w:rsid w:val="00130F69"/>
    <w:rsid w:val="00133C8A"/>
    <w:rsid w:val="00145672"/>
    <w:rsid w:val="00156B47"/>
    <w:rsid w:val="00160EA5"/>
    <w:rsid w:val="001966D9"/>
    <w:rsid w:val="001B4C72"/>
    <w:rsid w:val="002048B9"/>
    <w:rsid w:val="002116F8"/>
    <w:rsid w:val="00221E39"/>
    <w:rsid w:val="002319D9"/>
    <w:rsid w:val="00233F82"/>
    <w:rsid w:val="002451FC"/>
    <w:rsid w:val="00260D94"/>
    <w:rsid w:val="00263A26"/>
    <w:rsid w:val="00286E4D"/>
    <w:rsid w:val="00305EE6"/>
    <w:rsid w:val="00313450"/>
    <w:rsid w:val="003161C5"/>
    <w:rsid w:val="00364A37"/>
    <w:rsid w:val="003703DF"/>
    <w:rsid w:val="003A336C"/>
    <w:rsid w:val="003B3AC4"/>
    <w:rsid w:val="003B7594"/>
    <w:rsid w:val="003C740C"/>
    <w:rsid w:val="003D0175"/>
    <w:rsid w:val="003E4762"/>
    <w:rsid w:val="003F61B8"/>
    <w:rsid w:val="003F73C0"/>
    <w:rsid w:val="00423356"/>
    <w:rsid w:val="0045296B"/>
    <w:rsid w:val="00465703"/>
    <w:rsid w:val="004744D2"/>
    <w:rsid w:val="00475824"/>
    <w:rsid w:val="004A2DB7"/>
    <w:rsid w:val="004C1FB3"/>
    <w:rsid w:val="00500A2F"/>
    <w:rsid w:val="005314E6"/>
    <w:rsid w:val="005625B2"/>
    <w:rsid w:val="0058140D"/>
    <w:rsid w:val="005A2038"/>
    <w:rsid w:val="005B5FAF"/>
    <w:rsid w:val="005D5112"/>
    <w:rsid w:val="00607873"/>
    <w:rsid w:val="006345E2"/>
    <w:rsid w:val="00665205"/>
    <w:rsid w:val="00677EA8"/>
    <w:rsid w:val="006A43F8"/>
    <w:rsid w:val="006C5A03"/>
    <w:rsid w:val="006D0AC1"/>
    <w:rsid w:val="006D6B1B"/>
    <w:rsid w:val="006D75D1"/>
    <w:rsid w:val="006F7E21"/>
    <w:rsid w:val="00701114"/>
    <w:rsid w:val="00722D80"/>
    <w:rsid w:val="0077345D"/>
    <w:rsid w:val="00775D21"/>
    <w:rsid w:val="00784CDA"/>
    <w:rsid w:val="007E4B50"/>
    <w:rsid w:val="007F7FFD"/>
    <w:rsid w:val="008064F1"/>
    <w:rsid w:val="00815598"/>
    <w:rsid w:val="00833E79"/>
    <w:rsid w:val="008A3442"/>
    <w:rsid w:val="008B00B1"/>
    <w:rsid w:val="008D2A93"/>
    <w:rsid w:val="008D58FC"/>
    <w:rsid w:val="008E021E"/>
    <w:rsid w:val="008E1C06"/>
    <w:rsid w:val="00904428"/>
    <w:rsid w:val="009115B4"/>
    <w:rsid w:val="00913D7B"/>
    <w:rsid w:val="009307CA"/>
    <w:rsid w:val="00931482"/>
    <w:rsid w:val="0093739F"/>
    <w:rsid w:val="0099241E"/>
    <w:rsid w:val="00993803"/>
    <w:rsid w:val="009C6B70"/>
    <w:rsid w:val="009D67ED"/>
    <w:rsid w:val="009F0D41"/>
    <w:rsid w:val="00A23131"/>
    <w:rsid w:val="00A46146"/>
    <w:rsid w:val="00A46BE2"/>
    <w:rsid w:val="00A70264"/>
    <w:rsid w:val="00A73D33"/>
    <w:rsid w:val="00A80A77"/>
    <w:rsid w:val="00AC015D"/>
    <w:rsid w:val="00AC3378"/>
    <w:rsid w:val="00AE507C"/>
    <w:rsid w:val="00AE6903"/>
    <w:rsid w:val="00B3191C"/>
    <w:rsid w:val="00B3771F"/>
    <w:rsid w:val="00B47F45"/>
    <w:rsid w:val="00B87F0A"/>
    <w:rsid w:val="00BA204A"/>
    <w:rsid w:val="00BA3490"/>
    <w:rsid w:val="00BA5465"/>
    <w:rsid w:val="00BC335B"/>
    <w:rsid w:val="00BE08E8"/>
    <w:rsid w:val="00C0059F"/>
    <w:rsid w:val="00C06FFE"/>
    <w:rsid w:val="00C11DA5"/>
    <w:rsid w:val="00C2574E"/>
    <w:rsid w:val="00C32A18"/>
    <w:rsid w:val="00C333D9"/>
    <w:rsid w:val="00C35D4E"/>
    <w:rsid w:val="00CC268F"/>
    <w:rsid w:val="00CD6F28"/>
    <w:rsid w:val="00CE398E"/>
    <w:rsid w:val="00CF2AA1"/>
    <w:rsid w:val="00D3058C"/>
    <w:rsid w:val="00D83F4D"/>
    <w:rsid w:val="00D91040"/>
    <w:rsid w:val="00DB3253"/>
    <w:rsid w:val="00DE0A21"/>
    <w:rsid w:val="00DE1512"/>
    <w:rsid w:val="00DE37CF"/>
    <w:rsid w:val="00DF291A"/>
    <w:rsid w:val="00E030E9"/>
    <w:rsid w:val="00E266A0"/>
    <w:rsid w:val="00E41C38"/>
    <w:rsid w:val="00E44115"/>
    <w:rsid w:val="00E91240"/>
    <w:rsid w:val="00EA295E"/>
    <w:rsid w:val="00EA416B"/>
    <w:rsid w:val="00EC4A41"/>
    <w:rsid w:val="00EF66D2"/>
    <w:rsid w:val="00F41464"/>
    <w:rsid w:val="00F82A4B"/>
    <w:rsid w:val="00FC6BE3"/>
    <w:rsid w:val="00FE0BA6"/>
    <w:rsid w:val="00FF1F85"/>
    <w:rsid w:val="00FF5E78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C0690"/>
  <w15:docId w15:val="{7E01E095-53BC-447C-B01D-9AE10DCC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E39"/>
    <w:pPr>
      <w:jc w:val="both"/>
    </w:pPr>
    <w:rPr>
      <w:rFonts w:ascii="Arial" w:hAnsi="Arial" w:cs="Arial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221E39"/>
    <w:pPr>
      <w:outlineLvl w:val="0"/>
    </w:pPr>
    <w:rPr>
      <w:rFonts w:eastAsia="Arial"/>
      <w:b/>
      <w:sz w:val="24"/>
      <w:szCs w:val="24"/>
      <w:lang w:val="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styleId="Lienhypertexte">
    <w:name w:val="Hyperlink"/>
    <w:basedOn w:val="Policepardfaut"/>
    <w:uiPriority w:val="99"/>
    <w:unhideWhenUsed/>
    <w:rsid w:val="00AC015D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AC01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6F7E21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7E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7E2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B3AC4"/>
  </w:style>
  <w:style w:type="character" w:styleId="Marquedecommentaire">
    <w:name w:val="annotation reference"/>
    <w:basedOn w:val="Policepardfaut"/>
    <w:uiPriority w:val="99"/>
    <w:semiHidden/>
    <w:unhideWhenUsed/>
    <w:rsid w:val="00F4146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4146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4146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4146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41464"/>
    <w:rPr>
      <w:b/>
      <w:bCs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3B3AC4"/>
    <w:pPr>
      <w:jc w:val="center"/>
    </w:pPr>
    <w:rPr>
      <w:b/>
      <w:sz w:val="28"/>
      <w:szCs w:val="28"/>
    </w:rPr>
  </w:style>
  <w:style w:type="character" w:customStyle="1" w:styleId="TitreCar">
    <w:name w:val="Titre Car"/>
    <w:basedOn w:val="Policepardfaut"/>
    <w:link w:val="Titre"/>
    <w:uiPriority w:val="10"/>
    <w:rsid w:val="003B3AC4"/>
    <w:rPr>
      <w:rFonts w:ascii="Arial" w:hAnsi="Arial" w:cs="Arial"/>
      <w:b/>
      <w:sz w:val="28"/>
      <w:szCs w:val="2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B3AC4"/>
    <w:pPr>
      <w:jc w:val="center"/>
    </w:pPr>
    <w:rPr>
      <w:i/>
      <w:iCs/>
    </w:rPr>
  </w:style>
  <w:style w:type="character" w:customStyle="1" w:styleId="Sous-titreCar">
    <w:name w:val="Sous-titre Car"/>
    <w:basedOn w:val="Policepardfaut"/>
    <w:link w:val="Sous-titre"/>
    <w:uiPriority w:val="11"/>
    <w:rsid w:val="003B3AC4"/>
    <w:rPr>
      <w:rFonts w:ascii="Arial" w:hAnsi="Arial" w:cs="Arial"/>
      <w:i/>
      <w:iCs/>
    </w:rPr>
  </w:style>
  <w:style w:type="character" w:styleId="Rfrencelgre">
    <w:name w:val="Subtle Reference"/>
    <w:uiPriority w:val="31"/>
    <w:qFormat/>
    <w:rsid w:val="003B3AC4"/>
    <w:rPr>
      <w:rFonts w:ascii="Arial" w:hAnsi="Arial" w:cs="Arial"/>
      <w:sz w:val="18"/>
      <w:szCs w:val="18"/>
    </w:rPr>
  </w:style>
  <w:style w:type="paragraph" w:customStyle="1" w:styleId="Question">
    <w:name w:val="Question"/>
    <w:basedOn w:val="Normal"/>
    <w:link w:val="QuestionCar"/>
    <w:qFormat/>
    <w:rsid w:val="00B87F0A"/>
    <w:rPr>
      <w:b/>
      <w:color w:val="0070C0"/>
      <w:lang w:eastAsia="fr-FR"/>
    </w:rPr>
  </w:style>
  <w:style w:type="character" w:customStyle="1" w:styleId="QuestionCar">
    <w:name w:val="Question Car"/>
    <w:basedOn w:val="Policepardfaut"/>
    <w:link w:val="Question"/>
    <w:rsid w:val="00B87F0A"/>
    <w:rPr>
      <w:rFonts w:ascii="Arial" w:hAnsi="Arial" w:cs="Arial"/>
      <w:b/>
      <w:color w:val="0070C0"/>
      <w:sz w:val="22"/>
      <w:szCs w:val="2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221E39"/>
    <w:rPr>
      <w:rFonts w:ascii="Arial" w:eastAsia="Arial" w:hAnsi="Arial" w:cs="Arial"/>
      <w:b/>
      <w:lang w:val="fr" w:eastAsia="fr-FR"/>
    </w:rPr>
  </w:style>
  <w:style w:type="paragraph" w:styleId="Liste">
    <w:name w:val="List"/>
    <w:basedOn w:val="Normal"/>
    <w:uiPriority w:val="99"/>
    <w:unhideWhenUsed/>
    <w:qFormat/>
    <w:rsid w:val="00221E39"/>
    <w:pPr>
      <w:numPr>
        <w:numId w:val="18"/>
      </w:numPr>
    </w:pPr>
  </w:style>
  <w:style w:type="paragraph" w:customStyle="1" w:styleId="Style1">
    <w:name w:val="Style1"/>
    <w:basedOn w:val="Normal"/>
    <w:qFormat/>
    <w:rsid w:val="005D5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075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5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52809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48191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6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379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2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0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9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66408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05471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6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4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07551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9501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2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5666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993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5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128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4855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38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9861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62181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5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7213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384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04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0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86422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193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53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2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224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2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59069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34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2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963823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429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1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073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216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2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2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2773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66691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07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4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35779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701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8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859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5169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7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4CB39-963B-45E3-9E72-8C06D45183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069D51-B931-481A-A60D-D2939AC5AC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BBD891-FA56-45BE-8689-C1E756466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3D9794-676A-4EC0-8A6C-9DCB58843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371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OZENNE Rodrigue</dc:creator>
  <cp:lastModifiedBy>BRAGANCA Théo</cp:lastModifiedBy>
  <cp:revision>12</cp:revision>
  <cp:lastPrinted>2020-05-14T13:17:00Z</cp:lastPrinted>
  <dcterms:created xsi:type="dcterms:W3CDTF">2021-09-06T06:41:00Z</dcterms:created>
  <dcterms:modified xsi:type="dcterms:W3CDTF">2023-08-23T10:37:00Z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