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2045E" w14:textId="5146C6A0" w:rsidR="002D1B73" w:rsidRDefault="002D1B73" w:rsidP="002D1B73">
      <w:pPr>
        <w:jc w:val="center"/>
        <w:rPr>
          <w:rFonts w:ascii="Arial" w:eastAsia="Calibri" w:hAnsi="Arial" w:cs="Arial"/>
          <w:b/>
          <w:bCs/>
          <w:color w:val="000000" w:themeColor="text1"/>
          <w:sz w:val="28"/>
          <w:szCs w:val="28"/>
        </w:rPr>
      </w:pPr>
      <w:r>
        <w:rPr>
          <w:rFonts w:ascii="Arial" w:eastAsia="Calibri" w:hAnsi="Arial" w:cs="Arial"/>
          <w:b/>
          <w:bCs/>
          <w:color w:val="000000" w:themeColor="text1"/>
          <w:sz w:val="28"/>
          <w:szCs w:val="28"/>
        </w:rPr>
        <w:t>Ingénieur, ingénieure : quels parcours d’études possibles ?</w:t>
      </w:r>
    </w:p>
    <w:p w14:paraId="233ECA0F" w14:textId="1EA1D5E0" w:rsidR="00F61111" w:rsidRPr="00073429" w:rsidRDefault="00F61111" w:rsidP="002D1B73">
      <w:pPr>
        <w:jc w:val="center"/>
        <w:rPr>
          <w:rFonts w:ascii="Arial" w:eastAsia="Calibri" w:hAnsi="Arial" w:cs="Arial"/>
          <w:iCs/>
          <w:color w:val="000000" w:themeColor="text1"/>
          <w:sz w:val="20"/>
          <w:szCs w:val="20"/>
        </w:rPr>
      </w:pPr>
      <w:r w:rsidRPr="00073429">
        <w:rPr>
          <w:rFonts w:ascii="Arial" w:eastAsia="Calibri" w:hAnsi="Arial" w:cs="Arial"/>
          <w:iCs/>
          <w:color w:val="000000" w:themeColor="text1"/>
          <w:sz w:val="20"/>
          <w:szCs w:val="20"/>
        </w:rPr>
        <w:t>Fiche enseignant</w:t>
      </w:r>
    </w:p>
    <w:p w14:paraId="279994A8" w14:textId="2F09243C" w:rsidR="002D1B73" w:rsidRPr="00073429" w:rsidRDefault="002D1B73" w:rsidP="00F61111">
      <w:pPr>
        <w:rPr>
          <w:rStyle w:val="normaltextrun"/>
          <w:rFonts w:ascii="Arial" w:hAnsi="Arial" w:cs="Arial"/>
          <w:b/>
          <w:bCs/>
          <w:iCs/>
          <w:color w:val="000000"/>
          <w:sz w:val="18"/>
          <w:szCs w:val="18"/>
          <w:shd w:val="clear" w:color="auto" w:fill="FFFFFF"/>
        </w:rPr>
      </w:pPr>
      <w:r w:rsidRPr="00073429">
        <w:rPr>
          <w:iCs/>
          <w:sz w:val="20"/>
          <w:szCs w:val="20"/>
        </w:rPr>
        <w:br/>
      </w:r>
      <w:r w:rsidRPr="00073429">
        <w:rPr>
          <w:rStyle w:val="normaltextrun"/>
          <w:rFonts w:ascii="Arial" w:hAnsi="Arial" w:cs="Arial"/>
          <w:b/>
          <w:bCs/>
          <w:iCs/>
          <w:color w:val="2F5496" w:themeColor="accent1" w:themeShade="BF"/>
          <w:sz w:val="18"/>
          <w:szCs w:val="18"/>
          <w:shd w:val="clear" w:color="auto" w:fill="FFFFFF"/>
        </w:rPr>
        <w:t xml:space="preserve">Étapes 2 et 3 : </w:t>
      </w:r>
      <w:r w:rsidR="003E5498" w:rsidRPr="00073429">
        <w:rPr>
          <w:rStyle w:val="normaltextrun"/>
          <w:rFonts w:ascii="Arial" w:hAnsi="Arial" w:cs="Arial"/>
          <w:b/>
          <w:bCs/>
          <w:iCs/>
          <w:color w:val="2F5496" w:themeColor="accent1" w:themeShade="BF"/>
          <w:sz w:val="18"/>
          <w:szCs w:val="18"/>
          <w:shd w:val="clear" w:color="auto" w:fill="FFFFFF"/>
        </w:rPr>
        <w:t>Corrigé du Q</w:t>
      </w:r>
      <w:r w:rsidRPr="00073429">
        <w:rPr>
          <w:rStyle w:val="normaltextrun"/>
          <w:rFonts w:ascii="Arial" w:hAnsi="Arial" w:cs="Arial"/>
          <w:b/>
          <w:bCs/>
          <w:iCs/>
          <w:color w:val="2F5496" w:themeColor="accent1" w:themeShade="BF"/>
          <w:sz w:val="18"/>
          <w:szCs w:val="18"/>
          <w:shd w:val="clear" w:color="auto" w:fill="FFFFFF"/>
        </w:rPr>
        <w:t xml:space="preserve">uiz </w:t>
      </w:r>
      <w:r w:rsidR="00CF2CDD" w:rsidRPr="00073429">
        <w:rPr>
          <w:rStyle w:val="normaltextrun"/>
          <w:rFonts w:ascii="Arial" w:hAnsi="Arial" w:cs="Arial"/>
          <w:b/>
          <w:bCs/>
          <w:iCs/>
          <w:color w:val="2F5496" w:themeColor="accent1" w:themeShade="BF"/>
          <w:sz w:val="18"/>
          <w:szCs w:val="18"/>
          <w:shd w:val="clear" w:color="auto" w:fill="FFFFFF"/>
        </w:rPr>
        <w:t>s</w:t>
      </w:r>
      <w:r w:rsidRPr="00073429">
        <w:rPr>
          <w:rStyle w:val="normaltextrun"/>
          <w:rFonts w:ascii="Arial" w:hAnsi="Arial" w:cs="Arial"/>
          <w:b/>
          <w:bCs/>
          <w:iCs/>
          <w:color w:val="2F5496" w:themeColor="accent1" w:themeShade="BF"/>
          <w:sz w:val="18"/>
          <w:szCs w:val="18"/>
          <w:shd w:val="clear" w:color="auto" w:fill="FFFFFF"/>
        </w:rPr>
        <w:t xml:space="preserve">pécial </w:t>
      </w:r>
      <w:r w:rsidR="00CF2CDD" w:rsidRPr="00073429">
        <w:rPr>
          <w:rStyle w:val="normaltextrun"/>
          <w:rFonts w:ascii="Arial" w:hAnsi="Arial" w:cs="Arial"/>
          <w:b/>
          <w:bCs/>
          <w:iCs/>
          <w:color w:val="2F5496" w:themeColor="accent1" w:themeShade="BF"/>
          <w:sz w:val="18"/>
          <w:szCs w:val="18"/>
          <w:shd w:val="clear" w:color="auto" w:fill="FFFFFF"/>
        </w:rPr>
        <w:t>é</w:t>
      </w:r>
      <w:r w:rsidRPr="00073429">
        <w:rPr>
          <w:rStyle w:val="normaltextrun"/>
          <w:rFonts w:ascii="Arial" w:hAnsi="Arial" w:cs="Arial"/>
          <w:b/>
          <w:bCs/>
          <w:iCs/>
          <w:color w:val="2F5496" w:themeColor="accent1" w:themeShade="BF"/>
          <w:sz w:val="18"/>
          <w:szCs w:val="18"/>
          <w:shd w:val="clear" w:color="auto" w:fill="FFFFFF"/>
        </w:rPr>
        <w:t>coles d’ingénieurs</w:t>
      </w:r>
      <w:r w:rsidR="003E5498" w:rsidRPr="00073429">
        <w:rPr>
          <w:rStyle w:val="normaltextrun"/>
          <w:rFonts w:ascii="Arial" w:hAnsi="Arial" w:cs="Arial"/>
          <w:b/>
          <w:bCs/>
          <w:iCs/>
          <w:color w:val="2F5496" w:themeColor="accent1" w:themeShade="BF"/>
          <w:sz w:val="18"/>
          <w:szCs w:val="18"/>
          <w:shd w:val="clear" w:color="auto" w:fill="FFFFFF"/>
        </w:rPr>
        <w:t> </w:t>
      </w:r>
      <w:r w:rsidR="00F61111" w:rsidRPr="00073429">
        <w:rPr>
          <w:rStyle w:val="normaltextrun"/>
          <w:rFonts w:ascii="Arial" w:hAnsi="Arial" w:cs="Arial"/>
          <w:b/>
          <w:bCs/>
          <w:iCs/>
          <w:color w:val="2F5496" w:themeColor="accent1" w:themeShade="BF"/>
          <w:sz w:val="18"/>
          <w:szCs w:val="18"/>
          <w:shd w:val="clear" w:color="auto" w:fill="FFFFFF"/>
        </w:rPr>
        <w:t xml:space="preserve"> </w:t>
      </w:r>
    </w:p>
    <w:p w14:paraId="49E8AE06" w14:textId="6408E1CF" w:rsidR="002D1B73" w:rsidRPr="00073429" w:rsidRDefault="002D1B73" w:rsidP="002D1B73">
      <w:pPr>
        <w:jc w:val="both"/>
        <w:rPr>
          <w:sz w:val="16"/>
          <w:szCs w:val="16"/>
        </w:rPr>
      </w:pPr>
      <w:r w:rsidRPr="00073429">
        <w:rPr>
          <w:rFonts w:ascii="Arial" w:eastAsia="Arial" w:hAnsi="Arial" w:cs="Arial"/>
          <w:iCs/>
          <w:sz w:val="20"/>
          <w:szCs w:val="20"/>
        </w:rPr>
        <w:t>Lien vers le quiz en ligne :</w:t>
      </w:r>
      <w:r w:rsidRPr="00073429">
        <w:rPr>
          <w:iCs/>
          <w:sz w:val="20"/>
          <w:szCs w:val="20"/>
        </w:rPr>
        <w:t xml:space="preserve"> </w:t>
      </w:r>
      <w:hyperlink r:id="rId11" w:history="1">
        <w:r w:rsidR="003365E4">
          <w:rPr>
            <w:rStyle w:val="Lienhypertexte"/>
            <w:rFonts w:ascii="Arial" w:eastAsia="Arial" w:hAnsi="Arial" w:cs="Arial"/>
            <w:i/>
            <w:iCs/>
            <w:sz w:val="16"/>
            <w:szCs w:val="16"/>
          </w:rPr>
          <w:t>https://explorer-avenirs.onisep.fr/formation/les-principaux-domaines-de-formation/les-ecoles-d-ingenieurs/quiz-ecoles-d-ingenieurs</w:t>
        </w:r>
      </w:hyperlink>
    </w:p>
    <w:p w14:paraId="7E68F078" w14:textId="77777777" w:rsidR="002D1B73" w:rsidRDefault="002D1B73" w:rsidP="002D1B73">
      <w:pPr>
        <w:jc w:val="both"/>
        <w:rPr>
          <w:rFonts w:eastAsia="Arial"/>
          <w:i/>
          <w:iCs/>
          <w:sz w:val="22"/>
          <w:szCs w:val="22"/>
        </w:rPr>
      </w:pPr>
    </w:p>
    <w:p w14:paraId="1ADE3910" w14:textId="77777777" w:rsidR="002D1B73" w:rsidRPr="00073429" w:rsidRDefault="002D1B73" w:rsidP="002D1B73">
      <w:pPr>
        <w:pStyle w:val="Paragraphedeliste"/>
        <w:numPr>
          <w:ilvl w:val="0"/>
          <w:numId w:val="1"/>
        </w:numPr>
        <w:ind w:left="357" w:hanging="357"/>
        <w:jc w:val="both"/>
        <w:rPr>
          <w:rFonts w:ascii="Arial" w:eastAsia="Arial" w:hAnsi="Arial" w:cs="Arial"/>
          <w:b/>
          <w:bCs/>
          <w:sz w:val="20"/>
          <w:szCs w:val="20"/>
        </w:rPr>
      </w:pPr>
      <w:r w:rsidRPr="00073429">
        <w:rPr>
          <w:rFonts w:ascii="Arial" w:eastAsia="Arial" w:hAnsi="Arial" w:cs="Arial"/>
          <w:b/>
          <w:bCs/>
          <w:sz w:val="20"/>
          <w:szCs w:val="20"/>
        </w:rPr>
        <w:t>Les écoles d’ingénieurs sont réservées aux bacheliers généraux avec spécialités scientifiques.</w:t>
      </w:r>
    </w:p>
    <w:p w14:paraId="5A3FCBE4" w14:textId="763F1104" w:rsidR="002D1B73" w:rsidRPr="00073429" w:rsidRDefault="002D1B73" w:rsidP="002D1B73">
      <w:pPr>
        <w:jc w:val="both"/>
        <w:rPr>
          <w:rFonts w:ascii="Arial" w:hAnsi="Arial" w:cs="Arial"/>
          <w:sz w:val="20"/>
          <w:szCs w:val="20"/>
        </w:rPr>
      </w:pPr>
      <w:r w:rsidRPr="00073429">
        <w:rPr>
          <w:rFonts w:ascii="Arial" w:hAnsi="Arial" w:cs="Arial"/>
          <w:b/>
          <w:bCs/>
          <w:sz w:val="20"/>
          <w:szCs w:val="20"/>
        </w:rPr>
        <w:t xml:space="preserve">Faux. </w:t>
      </w:r>
      <w:r w:rsidRPr="00073429">
        <w:rPr>
          <w:rFonts w:ascii="Arial" w:hAnsi="Arial" w:cs="Arial"/>
          <w:sz w:val="20"/>
          <w:szCs w:val="20"/>
        </w:rPr>
        <w:t>Si les écoles d’ingénieurs accueillent majoritairement des bacheliers généraux ayant suivi des spécialités scientifiques, certaines admettent aussi en plus petit nombre des bacheliers généraux n'ayant pas suivi uniquement des spécialités scientifiques, et des bacheliers technologiques STI2D, STL ou STAV. Ces derniers peuvent postuler</w:t>
      </w:r>
      <w:r w:rsidR="003365E4">
        <w:rPr>
          <w:rFonts w:ascii="Arial" w:hAnsi="Arial" w:cs="Arial"/>
          <w:sz w:val="20"/>
          <w:szCs w:val="20"/>
        </w:rPr>
        <w:t xml:space="preserve"> </w:t>
      </w:r>
      <w:r w:rsidRPr="00073429">
        <w:rPr>
          <w:rFonts w:ascii="Arial" w:hAnsi="Arial" w:cs="Arial"/>
          <w:sz w:val="20"/>
          <w:szCs w:val="20"/>
        </w:rPr>
        <w:t>pour une admission directement après le bac ou se préparer aux concours d'entrée au cours de 2 années de prépas scientifiques qui leur sont réservées. Autre piste pour les bacheliers technologiques comme pour les autres : les admissions parallèles. Cette voie d’accès concerne des étudiants ayant déjà validé un bac + 2 ou plus (par exemple, un BTS, un BUT ou une licence) scientifique ; leur origine de bac importe alors assez peu.</w:t>
      </w:r>
    </w:p>
    <w:p w14:paraId="5C7DC2B1" w14:textId="77777777" w:rsidR="002D1B73" w:rsidRPr="00073429" w:rsidRDefault="002D1B73" w:rsidP="002D1B73">
      <w:pPr>
        <w:jc w:val="both"/>
        <w:rPr>
          <w:rFonts w:ascii="Arial" w:hAnsi="Arial" w:cs="Arial"/>
          <w:sz w:val="20"/>
          <w:szCs w:val="20"/>
        </w:rPr>
      </w:pPr>
    </w:p>
    <w:p w14:paraId="5FA2EA79" w14:textId="77777777" w:rsidR="002D1B73" w:rsidRPr="00073429" w:rsidRDefault="002D1B73" w:rsidP="002D1B73">
      <w:pPr>
        <w:pStyle w:val="Paragraphedeliste"/>
        <w:numPr>
          <w:ilvl w:val="0"/>
          <w:numId w:val="1"/>
        </w:numPr>
        <w:ind w:left="357" w:hanging="357"/>
        <w:jc w:val="both"/>
        <w:rPr>
          <w:rFonts w:ascii="Arial" w:eastAsia="Arial" w:hAnsi="Arial" w:cs="Arial"/>
          <w:b/>
          <w:bCs/>
          <w:sz w:val="20"/>
          <w:szCs w:val="20"/>
        </w:rPr>
      </w:pPr>
      <w:r w:rsidRPr="00073429">
        <w:rPr>
          <w:rFonts w:ascii="Arial" w:hAnsi="Arial" w:cs="Arial"/>
          <w:b/>
          <w:bCs/>
          <w:sz w:val="20"/>
          <w:szCs w:val="20"/>
        </w:rPr>
        <w:t>Les filles représentent la moitié des élèves ingénieurs.</w:t>
      </w:r>
    </w:p>
    <w:p w14:paraId="080A0C90" w14:textId="77777777" w:rsidR="002D1B73" w:rsidRPr="00073429" w:rsidRDefault="002D1B73" w:rsidP="002D1B73">
      <w:pPr>
        <w:jc w:val="both"/>
        <w:rPr>
          <w:rFonts w:ascii="Arial" w:hAnsi="Arial" w:cs="Arial"/>
          <w:sz w:val="20"/>
          <w:szCs w:val="20"/>
        </w:rPr>
      </w:pPr>
      <w:r w:rsidRPr="00073429">
        <w:rPr>
          <w:rFonts w:ascii="Arial" w:hAnsi="Arial" w:cs="Arial"/>
          <w:b/>
          <w:bCs/>
          <w:sz w:val="20"/>
          <w:szCs w:val="20"/>
        </w:rPr>
        <w:t>Faux.</w:t>
      </w:r>
      <w:r w:rsidRPr="00073429">
        <w:rPr>
          <w:rFonts w:ascii="Arial" w:hAnsi="Arial" w:cs="Arial"/>
          <w:sz w:val="20"/>
          <w:szCs w:val="20"/>
        </w:rPr>
        <w:t xml:space="preserve"> Seulement 28 % des élèves ingénieurs sont des filles. En cause, des freins culturels qui les conduisent à penser qu’elles ne sont pas faites pour les sciences d’ingénieur. Celles qui s’engagent dans ce cursus réussissent pourtant aussi bien que les garçons et sont très attendues par les entreprises, demandeuses de davantage de mixité au sein de leurs équipes. </w:t>
      </w:r>
    </w:p>
    <w:p w14:paraId="0490934F" w14:textId="77777777" w:rsidR="002D1B73" w:rsidRPr="00073429" w:rsidRDefault="002D1B73" w:rsidP="002D1B73">
      <w:pPr>
        <w:jc w:val="both"/>
        <w:rPr>
          <w:rFonts w:ascii="Arial" w:eastAsia="Arial" w:hAnsi="Arial" w:cs="Arial"/>
          <w:b/>
          <w:bCs/>
          <w:sz w:val="20"/>
          <w:szCs w:val="20"/>
        </w:rPr>
      </w:pPr>
    </w:p>
    <w:p w14:paraId="396FEA82" w14:textId="77777777" w:rsidR="002D1B73" w:rsidRPr="00073429" w:rsidRDefault="002D1B73" w:rsidP="002D1B73">
      <w:pPr>
        <w:pStyle w:val="Paragraphedeliste"/>
        <w:numPr>
          <w:ilvl w:val="0"/>
          <w:numId w:val="1"/>
        </w:numPr>
        <w:ind w:left="357" w:hanging="357"/>
        <w:jc w:val="both"/>
        <w:rPr>
          <w:rFonts w:ascii="Arial" w:eastAsia="Arial" w:hAnsi="Arial" w:cs="Arial"/>
          <w:b/>
          <w:bCs/>
          <w:sz w:val="20"/>
          <w:szCs w:val="20"/>
        </w:rPr>
      </w:pPr>
      <w:r w:rsidRPr="00073429">
        <w:rPr>
          <w:rFonts w:ascii="Arial" w:hAnsi="Arial" w:cs="Arial"/>
          <w:b/>
          <w:bCs/>
          <w:sz w:val="20"/>
          <w:szCs w:val="20"/>
        </w:rPr>
        <w:t>Si je ne fais pas partie des meilleurs élèves de la classe, je n’y arriverai pas.</w:t>
      </w:r>
    </w:p>
    <w:p w14:paraId="15844888" w14:textId="19298272" w:rsidR="002D1B73" w:rsidRPr="00073429" w:rsidRDefault="002D1B73" w:rsidP="002D1B73">
      <w:pPr>
        <w:jc w:val="both"/>
        <w:rPr>
          <w:rFonts w:ascii="Arial" w:hAnsi="Arial" w:cs="Arial"/>
          <w:sz w:val="20"/>
          <w:szCs w:val="20"/>
        </w:rPr>
      </w:pPr>
      <w:r w:rsidRPr="00073429">
        <w:rPr>
          <w:rFonts w:ascii="Arial" w:hAnsi="Arial" w:cs="Arial"/>
          <w:b/>
          <w:bCs/>
          <w:sz w:val="20"/>
          <w:szCs w:val="20"/>
        </w:rPr>
        <w:t>Vrai et faux. </w:t>
      </w:r>
      <w:r w:rsidRPr="00073429">
        <w:rPr>
          <w:rFonts w:ascii="Arial" w:hAnsi="Arial" w:cs="Arial"/>
          <w:sz w:val="20"/>
          <w:szCs w:val="20"/>
        </w:rPr>
        <w:t>Si les écoles d'ingénieurs en 5 ans et les prépas les plus prestigieuses restent la chasse gardée des têtes de classe, beaucoup d’établissements accueillent également des bacheliers présentant une moyenne générale de 12 ou 13. Mais gare aux bulletins irréguliers</w:t>
      </w:r>
      <w:r w:rsidR="00F61111" w:rsidRPr="00073429">
        <w:rPr>
          <w:rFonts w:ascii="Arial" w:hAnsi="Arial" w:cs="Arial"/>
          <w:sz w:val="20"/>
          <w:szCs w:val="20"/>
        </w:rPr>
        <w:t> </w:t>
      </w:r>
      <w:r w:rsidRPr="00073429">
        <w:rPr>
          <w:rFonts w:ascii="Arial" w:hAnsi="Arial" w:cs="Arial"/>
          <w:sz w:val="20"/>
          <w:szCs w:val="20"/>
        </w:rPr>
        <w:t>: mieux vaut avoir des résultats homogènes dans l’ensemble des disciplines que de faire l’impasse sur certaines matières. Les appréciations des professeurs entrent aussi en ligne de compte. En revanche, pour les candidats à l’admission parallèle issus d’un BTS, d’un BUT ou d'une licence, seuls les meilleurs pourront décrocher une place, afin de pouvoir suivre les enseignements une fois en école d'ingénieurs.</w:t>
      </w:r>
    </w:p>
    <w:p w14:paraId="0EDF51F1" w14:textId="77777777" w:rsidR="002D1B73" w:rsidRPr="00073429" w:rsidRDefault="002D1B73" w:rsidP="002D1B73">
      <w:pPr>
        <w:jc w:val="both"/>
        <w:rPr>
          <w:rFonts w:ascii="Arial" w:eastAsia="Arial" w:hAnsi="Arial" w:cs="Arial"/>
          <w:b/>
          <w:bCs/>
          <w:sz w:val="20"/>
          <w:szCs w:val="20"/>
        </w:rPr>
      </w:pPr>
    </w:p>
    <w:p w14:paraId="2857376F" w14:textId="77777777" w:rsidR="002D1B73" w:rsidRPr="00073429" w:rsidRDefault="002D1B73" w:rsidP="002D1B73">
      <w:pPr>
        <w:pStyle w:val="Paragraphedeliste"/>
        <w:numPr>
          <w:ilvl w:val="0"/>
          <w:numId w:val="1"/>
        </w:numPr>
        <w:ind w:left="357" w:hanging="357"/>
        <w:jc w:val="both"/>
        <w:rPr>
          <w:rFonts w:ascii="Arial" w:eastAsia="Arial" w:hAnsi="Arial" w:cs="Arial"/>
          <w:b/>
          <w:bCs/>
          <w:sz w:val="20"/>
          <w:szCs w:val="20"/>
        </w:rPr>
      </w:pPr>
      <w:r w:rsidRPr="00073429">
        <w:rPr>
          <w:rFonts w:ascii="Arial" w:hAnsi="Arial" w:cs="Arial"/>
          <w:b/>
          <w:bCs/>
          <w:sz w:val="20"/>
          <w:szCs w:val="20"/>
        </w:rPr>
        <w:t>J’ai plus de chances d’intégrer une école via une prépa.</w:t>
      </w:r>
    </w:p>
    <w:p w14:paraId="34F66F99" w14:textId="77777777" w:rsidR="002D1B73" w:rsidRPr="00073429" w:rsidRDefault="002D1B73" w:rsidP="002D1B73">
      <w:pPr>
        <w:jc w:val="both"/>
        <w:rPr>
          <w:rFonts w:ascii="Arial" w:hAnsi="Arial" w:cs="Arial"/>
          <w:sz w:val="20"/>
          <w:szCs w:val="20"/>
        </w:rPr>
      </w:pPr>
      <w:r w:rsidRPr="00073429">
        <w:rPr>
          <w:rFonts w:ascii="Arial" w:hAnsi="Arial" w:cs="Arial"/>
          <w:b/>
          <w:bCs/>
          <w:sz w:val="20"/>
          <w:szCs w:val="20"/>
        </w:rPr>
        <w:t>Faux. </w:t>
      </w:r>
      <w:r w:rsidRPr="00073429">
        <w:rPr>
          <w:rFonts w:ascii="Arial" w:hAnsi="Arial" w:cs="Arial"/>
          <w:sz w:val="20"/>
          <w:szCs w:val="20"/>
        </w:rPr>
        <w:t>Avec la majorité des élèves de prépas scientifiques qui intègrent une école d’ingénieurs en 2 ou 3 ans, les CPGE (classes préparatoires aux grandes écoles) constituent de fait une voie d’accès très efficace. Les prépas restent par ailleurs presque incontournables pour accéder aux établissements les plus renommés. Cependant, près des deux tiers des élèves ingénieurs, toutes écoles confondues, ne sont pas passés par une prépa. Les admissions en école directement après le bac (avec prépa intégrée) continuent d’augmenter. De même, les cycles préparatoires communs (2 ans de prépa donnant accès sur contrôle continu aux écoles partenaires du cycle) ou les admissions parallèles, après un premier diplôme, sont des voies d'accès qui se développent.</w:t>
      </w:r>
    </w:p>
    <w:p w14:paraId="544885B8" w14:textId="04C5B04D" w:rsidR="00073429" w:rsidRDefault="00073429">
      <w:pPr>
        <w:rPr>
          <w:rFonts w:ascii="Arial" w:eastAsia="Arial" w:hAnsi="Arial" w:cs="Arial"/>
          <w:b/>
          <w:bCs/>
          <w:sz w:val="20"/>
          <w:szCs w:val="20"/>
        </w:rPr>
      </w:pPr>
    </w:p>
    <w:p w14:paraId="7D3EB955" w14:textId="77777777" w:rsidR="002D1B73" w:rsidRPr="00073429" w:rsidRDefault="002D1B73" w:rsidP="002D1B73">
      <w:pPr>
        <w:pStyle w:val="Paragraphedeliste"/>
        <w:numPr>
          <w:ilvl w:val="0"/>
          <w:numId w:val="1"/>
        </w:numPr>
        <w:ind w:left="357" w:hanging="357"/>
        <w:jc w:val="both"/>
        <w:rPr>
          <w:rFonts w:ascii="Arial" w:eastAsia="Arial" w:hAnsi="Arial" w:cs="Arial"/>
          <w:sz w:val="20"/>
          <w:szCs w:val="20"/>
        </w:rPr>
      </w:pPr>
      <w:r w:rsidRPr="00073429">
        <w:rPr>
          <w:rFonts w:ascii="Arial" w:hAnsi="Arial" w:cs="Arial"/>
          <w:b/>
          <w:bCs/>
          <w:sz w:val="20"/>
          <w:szCs w:val="20"/>
        </w:rPr>
        <w:t>Je peux devenir ingénieur ou ingénieure en passant par l’université.</w:t>
      </w:r>
    </w:p>
    <w:p w14:paraId="6A58FBBF" w14:textId="6C011AA8" w:rsidR="002D1B73" w:rsidRPr="00073429" w:rsidRDefault="002D1B73" w:rsidP="002D1B73">
      <w:pPr>
        <w:jc w:val="both"/>
        <w:rPr>
          <w:rFonts w:ascii="Arial" w:hAnsi="Arial" w:cs="Arial"/>
          <w:sz w:val="20"/>
          <w:szCs w:val="20"/>
        </w:rPr>
      </w:pPr>
      <w:r w:rsidRPr="00073429">
        <w:rPr>
          <w:rFonts w:ascii="Arial" w:hAnsi="Arial" w:cs="Arial"/>
          <w:b/>
          <w:bCs/>
          <w:sz w:val="20"/>
          <w:szCs w:val="20"/>
        </w:rPr>
        <w:t>Vrai.</w:t>
      </w:r>
      <w:r w:rsidRPr="00073429">
        <w:rPr>
          <w:rFonts w:ascii="Arial" w:hAnsi="Arial" w:cs="Arial"/>
          <w:sz w:val="20"/>
          <w:szCs w:val="20"/>
        </w:rPr>
        <w:t xml:space="preserve"> Une partie des écoles d’ingénieurs sont rattachées à des universités. Ces écoles internes aux universités rassemblent environ 20 % des étudiants ingénieurs. Par ailleurs, les étudiants de licence ou master peuvent accéder à la plupart des écoles d’ingénieurs, en 1</w:t>
      </w:r>
      <w:r w:rsidRPr="00073429">
        <w:rPr>
          <w:rFonts w:ascii="Arial" w:hAnsi="Arial" w:cs="Arial"/>
          <w:sz w:val="20"/>
          <w:szCs w:val="20"/>
          <w:vertAlign w:val="superscript"/>
        </w:rPr>
        <w:t>re</w:t>
      </w:r>
      <w:r w:rsidR="00305503" w:rsidRPr="00073429">
        <w:rPr>
          <w:rFonts w:ascii="Arial" w:hAnsi="Arial" w:cs="Arial"/>
          <w:sz w:val="20"/>
          <w:szCs w:val="20"/>
        </w:rPr>
        <w:t xml:space="preserve"> </w:t>
      </w:r>
      <w:r w:rsidRPr="00073429">
        <w:rPr>
          <w:rFonts w:ascii="Arial" w:hAnsi="Arial" w:cs="Arial"/>
          <w:sz w:val="20"/>
          <w:szCs w:val="20"/>
        </w:rPr>
        <w:t>ou 2</w:t>
      </w:r>
      <w:r w:rsidRPr="00073429">
        <w:rPr>
          <w:rFonts w:ascii="Arial" w:hAnsi="Arial" w:cs="Arial"/>
          <w:sz w:val="20"/>
          <w:szCs w:val="20"/>
          <w:vertAlign w:val="superscript"/>
        </w:rPr>
        <w:t>e</w:t>
      </w:r>
      <w:r w:rsidR="00305503" w:rsidRPr="00073429">
        <w:rPr>
          <w:rFonts w:ascii="Arial" w:hAnsi="Arial" w:cs="Arial"/>
          <w:sz w:val="20"/>
          <w:szCs w:val="20"/>
        </w:rPr>
        <w:t xml:space="preserve"> </w:t>
      </w:r>
      <w:r w:rsidRPr="00073429">
        <w:rPr>
          <w:rFonts w:ascii="Arial" w:hAnsi="Arial" w:cs="Arial"/>
          <w:sz w:val="20"/>
          <w:szCs w:val="20"/>
        </w:rPr>
        <w:t>année de cycle ingénieur, par la voie des admissions parallèles. Enfin, un master scientifique (bac + 5) à l'université, voire un doctorat, peut constituer un tremplin pour une carrière d’ingénieur. Garantissant un haut niveau de connaissances dans une spécialité, il permet à son titulaire de postuler à des postes d’ingénieur, sans pour autant disposer du titre d'ingénieur diplômé reconnu sur avis de la CTI (Commission des titres d'ingénieur).</w:t>
      </w:r>
    </w:p>
    <w:p w14:paraId="188A7C43" w14:textId="77777777" w:rsidR="002D1B73" w:rsidRPr="00073429" w:rsidRDefault="002D1B73" w:rsidP="002D1B73">
      <w:pPr>
        <w:pStyle w:val="Paragraphedeliste"/>
        <w:numPr>
          <w:ilvl w:val="0"/>
          <w:numId w:val="1"/>
        </w:numPr>
        <w:ind w:left="357" w:hanging="357"/>
        <w:jc w:val="both"/>
        <w:rPr>
          <w:rFonts w:ascii="Arial" w:hAnsi="Arial" w:cs="Arial"/>
          <w:b/>
          <w:bCs/>
          <w:sz w:val="20"/>
          <w:szCs w:val="20"/>
        </w:rPr>
      </w:pPr>
      <w:r w:rsidRPr="00073429">
        <w:rPr>
          <w:rFonts w:ascii="Arial" w:hAnsi="Arial" w:cs="Arial"/>
          <w:b/>
          <w:bCs/>
          <w:sz w:val="20"/>
          <w:szCs w:val="20"/>
        </w:rPr>
        <w:lastRenderedPageBreak/>
        <w:t>Je trouverai toujours un moyen de financer ma formation.</w:t>
      </w:r>
    </w:p>
    <w:p w14:paraId="13CDC852" w14:textId="77777777" w:rsidR="002D1B73" w:rsidRPr="00073429" w:rsidRDefault="002D1B73" w:rsidP="002D1B73">
      <w:pPr>
        <w:jc w:val="both"/>
        <w:rPr>
          <w:rFonts w:ascii="Arial" w:hAnsi="Arial" w:cs="Arial"/>
          <w:sz w:val="20"/>
          <w:szCs w:val="20"/>
        </w:rPr>
      </w:pPr>
      <w:r w:rsidRPr="00073429">
        <w:rPr>
          <w:rFonts w:ascii="Arial" w:hAnsi="Arial" w:cs="Arial"/>
          <w:b/>
          <w:bCs/>
          <w:sz w:val="20"/>
          <w:szCs w:val="20"/>
        </w:rPr>
        <w:t>Vrai.</w:t>
      </w:r>
      <w:r w:rsidRPr="00073429">
        <w:rPr>
          <w:rFonts w:ascii="Arial" w:hAnsi="Arial" w:cs="Arial"/>
          <w:sz w:val="20"/>
          <w:szCs w:val="20"/>
        </w:rPr>
        <w:t xml:space="preserve"> Bourse sur critères sociaux, aides au logement, bourse Erasmus pour les séjours à l’étranger, soutien des écoles... de nombreuses aides existent pour financer son cursus en école d’ingénieurs. Ainsi, 30 % des élèves ingénieurs sont boursiers. Autre piste à explorer : l’apprentissage, qui permet de voir ses frais d’inscriptions pris en charge par son entreprise d'accueil et d’obtenir une rémunération. À noter : la majorité des écoles d'ingénieurs étant publiques, les droits de scolarité restent moindres comparés à d'autres écoles. Ils sont de 601 € par an dans la plupart des écoles publiques.</w:t>
      </w:r>
    </w:p>
    <w:p w14:paraId="588AAB2F" w14:textId="77777777" w:rsidR="002D1B73" w:rsidRPr="00073429" w:rsidRDefault="002D1B73" w:rsidP="002D1B73">
      <w:pPr>
        <w:jc w:val="both"/>
        <w:rPr>
          <w:rFonts w:ascii="Arial" w:hAnsi="Arial" w:cs="Arial"/>
          <w:b/>
          <w:bCs/>
          <w:sz w:val="20"/>
          <w:szCs w:val="20"/>
        </w:rPr>
      </w:pPr>
    </w:p>
    <w:p w14:paraId="5AD60928" w14:textId="77777777" w:rsidR="002D1B73" w:rsidRPr="00073429" w:rsidRDefault="002D1B73" w:rsidP="002D1B73">
      <w:pPr>
        <w:pStyle w:val="Paragraphedeliste"/>
        <w:numPr>
          <w:ilvl w:val="0"/>
          <w:numId w:val="1"/>
        </w:numPr>
        <w:ind w:left="357" w:hanging="357"/>
        <w:jc w:val="both"/>
        <w:rPr>
          <w:rFonts w:ascii="Arial" w:hAnsi="Arial" w:cs="Arial"/>
          <w:b/>
          <w:bCs/>
          <w:sz w:val="20"/>
          <w:szCs w:val="20"/>
        </w:rPr>
      </w:pPr>
      <w:r w:rsidRPr="00073429">
        <w:rPr>
          <w:rFonts w:ascii="Arial" w:hAnsi="Arial" w:cs="Arial"/>
          <w:b/>
          <w:bCs/>
          <w:sz w:val="20"/>
          <w:szCs w:val="20"/>
        </w:rPr>
        <w:t>Je m’engage pour 5 années d’études théoriques.</w:t>
      </w:r>
    </w:p>
    <w:p w14:paraId="602A30A0" w14:textId="77777777" w:rsidR="002D1B73" w:rsidRPr="00073429" w:rsidRDefault="002D1B73" w:rsidP="002D1B73">
      <w:pPr>
        <w:jc w:val="both"/>
        <w:rPr>
          <w:rFonts w:ascii="Arial" w:hAnsi="Arial" w:cs="Arial"/>
          <w:sz w:val="20"/>
          <w:szCs w:val="20"/>
        </w:rPr>
      </w:pPr>
      <w:r w:rsidRPr="00073429">
        <w:rPr>
          <w:rFonts w:ascii="Arial" w:hAnsi="Arial" w:cs="Arial"/>
          <w:b/>
          <w:bCs/>
          <w:sz w:val="20"/>
          <w:szCs w:val="20"/>
        </w:rPr>
        <w:t>Faux.</w:t>
      </w:r>
      <w:r w:rsidRPr="00073429">
        <w:rPr>
          <w:rFonts w:ascii="Arial" w:hAnsi="Arial" w:cs="Arial"/>
          <w:sz w:val="20"/>
          <w:szCs w:val="20"/>
        </w:rPr>
        <w:t xml:space="preserve"> Seules les 2 années de CPGE (classes préparatoires aux grandes écoles) et, dans une moindre mesure, les prépas intégrées des écoles en 5 ans et les cycles préparatoires communs sont théoriques. Il s’agit en effet d’y acquérir les connaissances fondamentales en mathématiques, physique, informatique, etc. Les TD (travaux dirigés) et les TP (travaux pratiques) y alternent toutefois avec les cours magistraux. En revanche, une fois en cycle ingénieur, la formation s’appuie de plus en plus sur des projets, souvent collectifs. Des périodes de stages en entreprise (28 semaines au minimum) permettent aussi de se confronter aux réalités du terrain. Enfin, il est possible d'opter pour une formation en apprentissage, formule proposée par un nombre toujours plus grand d’écoles.</w:t>
      </w:r>
    </w:p>
    <w:p w14:paraId="4D9855F2" w14:textId="77777777" w:rsidR="002D1B73" w:rsidRPr="00073429" w:rsidRDefault="002D1B73" w:rsidP="002D1B73">
      <w:pPr>
        <w:jc w:val="both"/>
        <w:rPr>
          <w:rFonts w:ascii="Arial" w:hAnsi="Arial" w:cs="Arial"/>
          <w:b/>
          <w:bCs/>
          <w:sz w:val="20"/>
          <w:szCs w:val="20"/>
        </w:rPr>
      </w:pPr>
    </w:p>
    <w:p w14:paraId="68260D5D" w14:textId="77777777" w:rsidR="002D1B73" w:rsidRPr="00073429" w:rsidRDefault="002D1B73" w:rsidP="002D1B73">
      <w:pPr>
        <w:pStyle w:val="Paragraphedeliste"/>
        <w:numPr>
          <w:ilvl w:val="0"/>
          <w:numId w:val="1"/>
        </w:numPr>
        <w:ind w:left="357" w:hanging="357"/>
        <w:jc w:val="both"/>
        <w:rPr>
          <w:rFonts w:ascii="Arial" w:hAnsi="Arial" w:cs="Arial"/>
          <w:b/>
          <w:bCs/>
          <w:sz w:val="20"/>
          <w:szCs w:val="20"/>
        </w:rPr>
      </w:pPr>
      <w:r w:rsidRPr="00073429">
        <w:rPr>
          <w:rFonts w:ascii="Arial" w:hAnsi="Arial" w:cs="Arial"/>
          <w:b/>
          <w:bCs/>
          <w:sz w:val="20"/>
          <w:szCs w:val="20"/>
        </w:rPr>
        <w:t>Une fois mon admission obtenue, je ne pourrai pas changer d’école.</w:t>
      </w:r>
    </w:p>
    <w:p w14:paraId="16DB8A92" w14:textId="3BFA5E3F" w:rsidR="002D1B73" w:rsidRPr="00073429" w:rsidRDefault="002D1B73" w:rsidP="002D1B73">
      <w:pPr>
        <w:jc w:val="both"/>
        <w:rPr>
          <w:rFonts w:ascii="Arial" w:hAnsi="Arial" w:cs="Arial"/>
          <w:sz w:val="20"/>
          <w:szCs w:val="20"/>
        </w:rPr>
      </w:pPr>
      <w:r w:rsidRPr="00073429">
        <w:rPr>
          <w:rFonts w:ascii="Arial" w:hAnsi="Arial" w:cs="Arial"/>
          <w:b/>
          <w:bCs/>
          <w:sz w:val="20"/>
          <w:szCs w:val="20"/>
        </w:rPr>
        <w:t>Vrai et faux.</w:t>
      </w:r>
      <w:r w:rsidRPr="00073429">
        <w:rPr>
          <w:rFonts w:ascii="Arial" w:hAnsi="Arial" w:cs="Arial"/>
          <w:sz w:val="20"/>
          <w:szCs w:val="20"/>
        </w:rPr>
        <w:t xml:space="preserve"> L’élève qui intègre une école directement après le bac est censé en sortir diplômé 5 ans plus tard. Dans les écoles appartenant à un réseau, il est possible de rejoindre un autre établissement du groupe en fin de 1</w:t>
      </w:r>
      <w:r w:rsidRPr="00073429">
        <w:rPr>
          <w:rFonts w:ascii="Arial" w:hAnsi="Arial" w:cs="Arial"/>
          <w:sz w:val="20"/>
          <w:szCs w:val="20"/>
          <w:vertAlign w:val="superscript"/>
        </w:rPr>
        <w:t>re</w:t>
      </w:r>
      <w:r w:rsidR="00305503" w:rsidRPr="00073429">
        <w:rPr>
          <w:rFonts w:ascii="Arial" w:hAnsi="Arial" w:cs="Arial"/>
          <w:sz w:val="20"/>
          <w:szCs w:val="20"/>
        </w:rPr>
        <w:t xml:space="preserve"> </w:t>
      </w:r>
      <w:r w:rsidRPr="00073429">
        <w:rPr>
          <w:rFonts w:ascii="Arial" w:hAnsi="Arial" w:cs="Arial"/>
          <w:sz w:val="20"/>
          <w:szCs w:val="20"/>
        </w:rPr>
        <w:t>ou 2</w:t>
      </w:r>
      <w:r w:rsidRPr="00073429">
        <w:rPr>
          <w:rFonts w:ascii="Arial" w:hAnsi="Arial" w:cs="Arial"/>
          <w:sz w:val="20"/>
          <w:szCs w:val="20"/>
          <w:vertAlign w:val="superscript"/>
        </w:rPr>
        <w:t>e</w:t>
      </w:r>
      <w:r w:rsidR="00305503" w:rsidRPr="00073429">
        <w:rPr>
          <w:rFonts w:ascii="Arial" w:hAnsi="Arial" w:cs="Arial"/>
          <w:sz w:val="20"/>
          <w:szCs w:val="20"/>
        </w:rPr>
        <w:t xml:space="preserve"> </w:t>
      </w:r>
      <w:r w:rsidRPr="00073429">
        <w:rPr>
          <w:rFonts w:ascii="Arial" w:hAnsi="Arial" w:cs="Arial"/>
          <w:sz w:val="20"/>
          <w:szCs w:val="20"/>
        </w:rPr>
        <w:t>année. Mais ces transferts se font au cas par cas, en tenant compte aussi des résultats. Pour celles et ceux qui hésitent, mieux vaut postuler en prépa scientifique ou en cycle préparatoire, ce qui laisse 2 ans supplémentaires pour affiner son projet. Une fois en cycle ingénieur, les étudiants d'une école appartenant à un réseau peuvent parfois suivre une partie du cursus dans un établissement partenaire, par exemple pour y suivre une option qui les intéresse particulièrement et qui n’est pas enseignée dans leur école d’origine.</w:t>
      </w:r>
    </w:p>
    <w:p w14:paraId="7F5FB816" w14:textId="77777777" w:rsidR="002D1B73" w:rsidRPr="00073429" w:rsidRDefault="002D1B73" w:rsidP="002D1B73">
      <w:pPr>
        <w:jc w:val="both"/>
        <w:rPr>
          <w:rFonts w:ascii="Arial" w:hAnsi="Arial" w:cs="Arial"/>
          <w:b/>
          <w:bCs/>
          <w:sz w:val="20"/>
          <w:szCs w:val="20"/>
        </w:rPr>
      </w:pPr>
    </w:p>
    <w:p w14:paraId="162614E9" w14:textId="77777777" w:rsidR="002D1B73" w:rsidRPr="00073429" w:rsidRDefault="002D1B73" w:rsidP="002D1B73">
      <w:pPr>
        <w:pStyle w:val="Paragraphedeliste"/>
        <w:numPr>
          <w:ilvl w:val="0"/>
          <w:numId w:val="1"/>
        </w:numPr>
        <w:ind w:left="357" w:hanging="357"/>
        <w:jc w:val="both"/>
        <w:rPr>
          <w:rFonts w:ascii="Arial" w:hAnsi="Arial" w:cs="Arial"/>
          <w:b/>
          <w:bCs/>
          <w:sz w:val="20"/>
          <w:szCs w:val="20"/>
        </w:rPr>
      </w:pPr>
      <w:r w:rsidRPr="00073429">
        <w:rPr>
          <w:rFonts w:ascii="Arial" w:hAnsi="Arial" w:cs="Arial"/>
          <w:b/>
          <w:bCs/>
          <w:sz w:val="20"/>
          <w:szCs w:val="20"/>
        </w:rPr>
        <w:t>Je peux faire mes études d'ingénieur en apprentissage.</w:t>
      </w:r>
    </w:p>
    <w:p w14:paraId="4DFCFE4B" w14:textId="77777777" w:rsidR="002D1B73" w:rsidRPr="00073429" w:rsidRDefault="002D1B73" w:rsidP="002D1B73">
      <w:pPr>
        <w:jc w:val="both"/>
        <w:rPr>
          <w:rFonts w:ascii="Arial" w:hAnsi="Arial" w:cs="Arial"/>
          <w:sz w:val="20"/>
          <w:szCs w:val="20"/>
        </w:rPr>
      </w:pPr>
      <w:r w:rsidRPr="00073429">
        <w:rPr>
          <w:rFonts w:ascii="Arial" w:hAnsi="Arial" w:cs="Arial"/>
          <w:b/>
          <w:bCs/>
          <w:sz w:val="20"/>
          <w:szCs w:val="20"/>
        </w:rPr>
        <w:t>Vrai.</w:t>
      </w:r>
      <w:r w:rsidRPr="00073429">
        <w:rPr>
          <w:rFonts w:ascii="Arial" w:hAnsi="Arial" w:cs="Arial"/>
          <w:sz w:val="20"/>
          <w:szCs w:val="20"/>
        </w:rPr>
        <w:t xml:space="preserve"> À la rentrée 2020, 17 % des étudiants en écoles d'ingénieurs étaient apprenti. De plus en plus de formations d’ingénieurs sont proposées en apprentissage, la plupart spécialisées dans un domaine (mécanique, électronique, informatique, BTP, etc.), mais quelques-unes aussi à vocation généraliste. L'apprentissage s'effectue en général sur les 3 ans du cycle ingénieur, plus rarement sur les deux dernières années. Le recrutement a lieu à bac + 2 seulement, et comprend la sélection par l'école et la signature d'un contrat avec une entreprise.</w:t>
      </w:r>
    </w:p>
    <w:p w14:paraId="0BDF811B" w14:textId="77777777" w:rsidR="002D1B73" w:rsidRPr="00073429" w:rsidRDefault="002D1B73" w:rsidP="002D1B73">
      <w:pPr>
        <w:jc w:val="both"/>
        <w:rPr>
          <w:rFonts w:ascii="Arial" w:hAnsi="Arial" w:cs="Arial"/>
          <w:b/>
          <w:bCs/>
          <w:sz w:val="20"/>
          <w:szCs w:val="20"/>
        </w:rPr>
      </w:pPr>
    </w:p>
    <w:p w14:paraId="1868AA86" w14:textId="77777777" w:rsidR="002D1B73" w:rsidRPr="00073429" w:rsidRDefault="002D1B73" w:rsidP="002D1B73">
      <w:pPr>
        <w:pStyle w:val="Paragraphedeliste"/>
        <w:numPr>
          <w:ilvl w:val="0"/>
          <w:numId w:val="1"/>
        </w:numPr>
        <w:ind w:left="357" w:hanging="357"/>
        <w:jc w:val="both"/>
        <w:rPr>
          <w:rFonts w:ascii="Arial" w:eastAsia="Arial" w:hAnsi="Arial" w:cs="Arial"/>
          <w:sz w:val="20"/>
          <w:szCs w:val="20"/>
        </w:rPr>
      </w:pPr>
      <w:r w:rsidRPr="00073429">
        <w:rPr>
          <w:rFonts w:ascii="Arial" w:hAnsi="Arial" w:cs="Arial"/>
          <w:b/>
          <w:bCs/>
          <w:sz w:val="20"/>
          <w:szCs w:val="20"/>
        </w:rPr>
        <w:t>Avec un diplôme d’ingénieur, je n’aurai pas de mal à trouver un emploi !</w:t>
      </w:r>
    </w:p>
    <w:p w14:paraId="026295A0" w14:textId="77777777" w:rsidR="002D1B73" w:rsidRPr="00073429" w:rsidRDefault="002D1B73" w:rsidP="002D1B73">
      <w:pPr>
        <w:jc w:val="both"/>
        <w:rPr>
          <w:rFonts w:ascii="Arial" w:hAnsi="Arial" w:cs="Arial"/>
          <w:sz w:val="20"/>
          <w:szCs w:val="20"/>
        </w:rPr>
      </w:pPr>
      <w:r w:rsidRPr="00073429">
        <w:rPr>
          <w:rFonts w:ascii="Arial" w:hAnsi="Arial" w:cs="Arial"/>
          <w:b/>
          <w:bCs/>
          <w:sz w:val="20"/>
          <w:szCs w:val="20"/>
        </w:rPr>
        <w:t>Vrai.</w:t>
      </w:r>
      <w:r w:rsidRPr="00073429">
        <w:rPr>
          <w:rFonts w:ascii="Arial" w:hAnsi="Arial" w:cs="Arial"/>
          <w:sz w:val="20"/>
          <w:szCs w:val="20"/>
        </w:rPr>
        <w:t xml:space="preserve"> Un an après l'obtention de leur diplôme, la plupart des ingénieurs (8 sur 10) qui cherchaient un emploi en ont trouvé un, majoritairement en CDI et avec un statut cadre, selon la CGE (Conférence des grandes écoles). Le taux de chômage dans la profession reste par ailleurs très faible (4,5 %, selon Ingénieurs et scientifiques de France) ; il est près de deux fois inférieur à celui de l’ensemble de la population active.</w:t>
      </w:r>
    </w:p>
    <w:p w14:paraId="1B12BE6B" w14:textId="77777777" w:rsidR="002D1B73" w:rsidRPr="007D71EE" w:rsidRDefault="002D1B73" w:rsidP="002D1B73">
      <w:pPr>
        <w:jc w:val="both"/>
        <w:rPr>
          <w:rStyle w:val="normaltextrun"/>
          <w:b/>
          <w:bCs/>
          <w:color w:val="000000"/>
          <w:sz w:val="22"/>
          <w:szCs w:val="22"/>
          <w:shd w:val="clear" w:color="auto" w:fill="FFFFFF"/>
        </w:rPr>
      </w:pPr>
    </w:p>
    <w:p w14:paraId="391FD78E" w14:textId="77777777" w:rsidR="002D1B73" w:rsidRDefault="002D1B73" w:rsidP="002D1B73">
      <w:pPr>
        <w:rPr>
          <w:rStyle w:val="normaltextrun"/>
          <w:rFonts w:ascii="Arial" w:hAnsi="Arial" w:cs="Arial"/>
          <w:b/>
          <w:bCs/>
          <w:color w:val="000000" w:themeColor="text1"/>
        </w:rPr>
      </w:pPr>
    </w:p>
    <w:p w14:paraId="368F429E" w14:textId="77777777" w:rsidR="00073429" w:rsidRDefault="00073429">
      <w:pPr>
        <w:rPr>
          <w:rStyle w:val="normaltextrun"/>
          <w:rFonts w:ascii="Arial" w:hAnsi="Arial" w:cs="Arial"/>
          <w:b/>
          <w:bCs/>
          <w:color w:val="2F5496" w:themeColor="accent1" w:themeShade="BF"/>
        </w:rPr>
      </w:pPr>
      <w:r>
        <w:rPr>
          <w:rStyle w:val="normaltextrun"/>
          <w:rFonts w:ascii="Arial" w:hAnsi="Arial" w:cs="Arial"/>
          <w:b/>
          <w:bCs/>
          <w:color w:val="2F5496" w:themeColor="accent1" w:themeShade="BF"/>
        </w:rPr>
        <w:br w:type="page"/>
      </w:r>
    </w:p>
    <w:p w14:paraId="159D3469" w14:textId="0CBFD65C" w:rsidR="002D1B73" w:rsidRPr="00F61111" w:rsidRDefault="002D1B73" w:rsidP="00F61111">
      <w:pPr>
        <w:rPr>
          <w:rStyle w:val="normaltextrun"/>
          <w:rFonts w:ascii="Arial" w:hAnsi="Arial" w:cs="Arial"/>
          <w:b/>
          <w:bCs/>
          <w:color w:val="2F5496" w:themeColor="accent1" w:themeShade="BF"/>
          <w:shd w:val="clear" w:color="auto" w:fill="FFFFFF"/>
        </w:rPr>
      </w:pPr>
      <w:r w:rsidRPr="00F61111">
        <w:rPr>
          <w:rStyle w:val="normaltextrun"/>
          <w:rFonts w:ascii="Arial" w:hAnsi="Arial" w:cs="Arial"/>
          <w:b/>
          <w:bCs/>
          <w:color w:val="2F5496" w:themeColor="accent1" w:themeShade="BF"/>
        </w:rPr>
        <w:lastRenderedPageBreak/>
        <w:t xml:space="preserve">Étape 4 : </w:t>
      </w:r>
      <w:r w:rsidRPr="00F61111">
        <w:rPr>
          <w:rStyle w:val="normaltextrun"/>
          <w:rFonts w:ascii="Arial" w:hAnsi="Arial" w:cs="Arial"/>
          <w:b/>
          <w:bCs/>
          <w:color w:val="2F5496" w:themeColor="accent1" w:themeShade="BF"/>
          <w:shd w:val="clear" w:color="auto" w:fill="FFFFFF"/>
        </w:rPr>
        <w:t>Schéma </w:t>
      </w:r>
      <w:r w:rsidR="00F61111" w:rsidRPr="00F61111">
        <w:rPr>
          <w:rStyle w:val="normaltextrun"/>
          <w:rFonts w:ascii="Arial" w:hAnsi="Arial" w:cs="Arial"/>
          <w:b/>
          <w:bCs/>
          <w:color w:val="2F5496" w:themeColor="accent1" w:themeShade="BF"/>
          <w:shd w:val="clear" w:color="auto" w:fill="FFFFFF"/>
        </w:rPr>
        <w:t xml:space="preserve">– Les </w:t>
      </w:r>
      <w:r w:rsidRPr="00F61111">
        <w:rPr>
          <w:rStyle w:val="normaltextrun"/>
          <w:rFonts w:ascii="Arial" w:hAnsi="Arial" w:cs="Arial"/>
          <w:b/>
          <w:bCs/>
          <w:color w:val="2F5496" w:themeColor="accent1" w:themeShade="BF"/>
          <w:shd w:val="clear" w:color="auto" w:fill="FFFFFF"/>
        </w:rPr>
        <w:t>voies d’accès aux écoles d’ingénieurs</w:t>
      </w:r>
    </w:p>
    <w:p w14:paraId="4AF0611B" w14:textId="6DBC0141" w:rsidR="002D1B73" w:rsidRDefault="002D1B73" w:rsidP="002D1B73">
      <w:pPr>
        <w:jc w:val="center"/>
        <w:rPr>
          <w:rFonts w:ascii="Arial" w:hAnsi="Arial" w:cs="Arial"/>
          <w:b/>
          <w:noProof/>
          <w:color w:val="000000"/>
          <w:shd w:val="clear" w:color="auto" w:fill="FFFFFF"/>
        </w:rPr>
      </w:pPr>
    </w:p>
    <w:p w14:paraId="60890FE0" w14:textId="0717A66D" w:rsidR="006C4D24" w:rsidRDefault="006C4D24" w:rsidP="002D1B73">
      <w:pPr>
        <w:jc w:val="center"/>
      </w:pPr>
    </w:p>
    <w:p w14:paraId="498DA773" w14:textId="515D1438" w:rsidR="23F033C4" w:rsidRDefault="23F033C4" w:rsidP="23F033C4">
      <w:pPr>
        <w:jc w:val="center"/>
      </w:pPr>
    </w:p>
    <w:p w14:paraId="7700FFC9" w14:textId="0000BF30" w:rsidR="23F033C4" w:rsidRDefault="004928B4" w:rsidP="23F033C4">
      <w:pPr>
        <w:jc w:val="center"/>
      </w:pPr>
      <w:r w:rsidRPr="003232BF">
        <w:rPr>
          <w:rStyle w:val="normaltextrun"/>
          <w:rFonts w:ascii="Arial" w:hAnsi="Arial" w:cs="Arial"/>
          <w:b/>
          <w:bCs/>
          <w:noProof/>
          <w:color w:val="000000"/>
          <w:shd w:val="clear" w:color="auto" w:fill="FFFFFF"/>
        </w:rPr>
        <w:drawing>
          <wp:inline distT="0" distB="0" distL="0" distR="0" wp14:anchorId="37B33661" wp14:editId="713A0BF1">
            <wp:extent cx="5731510" cy="2299335"/>
            <wp:effectExtent l="76200" t="19050" r="78740" b="13906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2299335"/>
                    </a:xfrm>
                    <a:prstGeom prst="rect">
                      <a:avLst/>
                    </a:prstGeom>
                    <a:ln>
                      <a:solidFill>
                        <a:schemeClr val="bg2">
                          <a:lumMod val="75000"/>
                        </a:schemeClr>
                      </a:solidFill>
                    </a:ln>
                    <a:effectLst>
                      <a:outerShdw blurRad="50800" dist="50800" dir="5400000" algn="ctr" rotWithShape="0">
                        <a:schemeClr val="bg2">
                          <a:lumMod val="90000"/>
                        </a:schemeClr>
                      </a:outerShdw>
                    </a:effectLst>
                  </pic:spPr>
                </pic:pic>
              </a:graphicData>
            </a:graphic>
          </wp:inline>
        </w:drawing>
      </w:r>
    </w:p>
    <w:p w14:paraId="02CA3529" w14:textId="7BE151C5" w:rsidR="002D1B73" w:rsidRDefault="002D1B73" w:rsidP="000A0DF9">
      <w:pPr>
        <w:rPr>
          <w:rStyle w:val="normaltextrun"/>
          <w:rFonts w:ascii="Arial" w:hAnsi="Arial" w:cs="Arial"/>
          <w:b/>
          <w:bCs/>
          <w:color w:val="000000"/>
          <w:shd w:val="clear" w:color="auto" w:fill="FFFFFF"/>
        </w:rPr>
      </w:pPr>
    </w:p>
    <w:p w14:paraId="22660C09" w14:textId="7F4D39F1" w:rsidR="002D1B73" w:rsidRDefault="002D1B73" w:rsidP="002D1B73">
      <w:pPr>
        <w:rPr>
          <w:rStyle w:val="normaltextrun"/>
          <w:rFonts w:ascii="Arial" w:hAnsi="Arial" w:cs="Arial"/>
          <w:b/>
          <w:bCs/>
          <w:color w:val="000000"/>
          <w:sz w:val="22"/>
          <w:szCs w:val="22"/>
          <w:shd w:val="clear" w:color="auto" w:fill="FFFFFF"/>
        </w:rPr>
      </w:pPr>
    </w:p>
    <w:p w14:paraId="5456E12C" w14:textId="6E0B68B5" w:rsidR="006C4D24" w:rsidRDefault="006C4D24" w:rsidP="002D1B73">
      <w:pPr>
        <w:rPr>
          <w:rFonts w:ascii="Arial" w:hAnsi="Arial" w:cs="Arial"/>
          <w:b/>
          <w:noProof/>
          <w:color w:val="000000"/>
          <w:shd w:val="clear" w:color="auto" w:fill="FFFFFF"/>
        </w:rPr>
      </w:pPr>
      <w:r>
        <w:rPr>
          <w:rFonts w:ascii="Arial" w:hAnsi="Arial" w:cs="Arial"/>
          <w:b/>
          <w:noProof/>
          <w:color w:val="000000"/>
          <w:shd w:val="clear" w:color="auto" w:fill="FFFFFF"/>
        </w:rPr>
        <w:drawing>
          <wp:inline distT="0" distB="0" distL="0" distR="0" wp14:anchorId="46BCC830" wp14:editId="6F6C0630">
            <wp:extent cx="1965707" cy="2047875"/>
            <wp:effectExtent l="76200" t="19050" r="73025" b="123825"/>
            <wp:docPr id="1"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pic:nvPicPr>
                  <pic:blipFill>
                    <a:blip r:embed="rId13">
                      <a:extLst>
                        <a:ext uri="{28A0092B-C50C-407E-A947-70E740481C1C}">
                          <a14:useLocalDpi xmlns:a14="http://schemas.microsoft.com/office/drawing/2010/main" val="0"/>
                        </a:ext>
                      </a:extLst>
                    </a:blip>
                    <a:stretch>
                      <a:fillRect/>
                    </a:stretch>
                  </pic:blipFill>
                  <pic:spPr>
                    <a:xfrm>
                      <a:off x="0" y="0"/>
                      <a:ext cx="1973313" cy="2055799"/>
                    </a:xfrm>
                    <a:prstGeom prst="rect">
                      <a:avLst/>
                    </a:prstGeom>
                    <a:ln>
                      <a:solidFill>
                        <a:schemeClr val="bg2">
                          <a:lumMod val="75000"/>
                        </a:schemeClr>
                      </a:solidFill>
                    </a:ln>
                    <a:effectLst>
                      <a:outerShdw blurRad="50800" dist="50800" dir="5400000" algn="ctr" rotWithShape="0">
                        <a:schemeClr val="bg2">
                          <a:lumMod val="90000"/>
                        </a:schemeClr>
                      </a:outerShdw>
                    </a:effectLst>
                  </pic:spPr>
                </pic:pic>
              </a:graphicData>
            </a:graphic>
          </wp:inline>
        </w:drawing>
      </w:r>
    </w:p>
    <w:p w14:paraId="11B78AE9" w14:textId="77777777" w:rsidR="006C4D24" w:rsidRDefault="006C4D24" w:rsidP="002D1B73">
      <w:pPr>
        <w:rPr>
          <w:rFonts w:ascii="Arial" w:hAnsi="Arial" w:cs="Arial"/>
          <w:b/>
          <w:noProof/>
          <w:color w:val="000000"/>
          <w:shd w:val="clear" w:color="auto" w:fill="FFFFFF"/>
        </w:rPr>
      </w:pPr>
    </w:p>
    <w:p w14:paraId="3FE87A35" w14:textId="744356F9" w:rsidR="00073429" w:rsidRDefault="00073429">
      <w:pPr>
        <w:rPr>
          <w:rStyle w:val="normaltextrun"/>
          <w:rFonts w:ascii="Arial" w:hAnsi="Arial" w:cs="Arial"/>
          <w:b/>
          <w:bCs/>
          <w:color w:val="000000"/>
          <w:shd w:val="clear" w:color="auto" w:fill="FFFFFF"/>
        </w:rPr>
      </w:pPr>
      <w:r>
        <w:rPr>
          <w:rStyle w:val="normaltextrun"/>
          <w:rFonts w:ascii="Arial" w:hAnsi="Arial" w:cs="Arial"/>
          <w:b/>
          <w:bCs/>
          <w:color w:val="000000"/>
          <w:shd w:val="clear" w:color="auto" w:fill="FFFFFF"/>
        </w:rPr>
        <w:br w:type="page"/>
      </w:r>
    </w:p>
    <w:p w14:paraId="5BADA6A9" w14:textId="77777777" w:rsidR="002D1B73" w:rsidRPr="00073429" w:rsidRDefault="002D1B73" w:rsidP="00F61111">
      <w:pPr>
        <w:rPr>
          <w:rStyle w:val="normaltextrun"/>
          <w:rFonts w:ascii="Arial" w:hAnsi="Arial" w:cs="Arial"/>
          <w:b/>
          <w:bCs/>
          <w:color w:val="000000"/>
          <w:sz w:val="20"/>
          <w:szCs w:val="20"/>
          <w:shd w:val="clear" w:color="auto" w:fill="FFFFFF"/>
        </w:rPr>
      </w:pPr>
      <w:r w:rsidRPr="00073429">
        <w:rPr>
          <w:rStyle w:val="normaltextrun"/>
          <w:rFonts w:ascii="Arial" w:hAnsi="Arial" w:cs="Arial"/>
          <w:b/>
          <w:bCs/>
          <w:color w:val="000000"/>
          <w:sz w:val="20"/>
          <w:szCs w:val="20"/>
          <w:shd w:val="clear" w:color="auto" w:fill="FFFFFF"/>
        </w:rPr>
        <w:lastRenderedPageBreak/>
        <w:t>Quelques explications à destination de l’enseignant</w:t>
      </w:r>
    </w:p>
    <w:p w14:paraId="2FDF7B03" w14:textId="77777777" w:rsidR="002D1B73" w:rsidRPr="00073429" w:rsidRDefault="002D1B73" w:rsidP="002D1B73">
      <w:pPr>
        <w:jc w:val="center"/>
        <w:rPr>
          <w:rStyle w:val="normaltextrun"/>
          <w:rFonts w:ascii="Arial" w:hAnsi="Arial" w:cs="Arial"/>
          <w:b/>
          <w:bCs/>
          <w:color w:val="000000"/>
          <w:sz w:val="20"/>
          <w:szCs w:val="20"/>
          <w:shd w:val="clear" w:color="auto" w:fill="FFFFFF"/>
        </w:rPr>
      </w:pPr>
    </w:p>
    <w:p w14:paraId="2B7EDEDC" w14:textId="4F3AC3A4" w:rsidR="002D1B73" w:rsidRPr="00073429" w:rsidRDefault="002D1B73" w:rsidP="002D1B73">
      <w:pPr>
        <w:rPr>
          <w:sz w:val="20"/>
          <w:szCs w:val="20"/>
        </w:rPr>
      </w:pPr>
      <w:r w:rsidRPr="00073429">
        <w:rPr>
          <w:rStyle w:val="normaltextrun"/>
          <w:rFonts w:ascii="Arial" w:hAnsi="Arial" w:cs="Arial"/>
          <w:sz w:val="20"/>
          <w:szCs w:val="20"/>
        </w:rPr>
        <w:t xml:space="preserve">À lire sur le </w:t>
      </w:r>
      <w:hyperlink r:id="rId14" w:history="1">
        <w:r w:rsidRPr="00073429">
          <w:rPr>
            <w:rStyle w:val="Lienhypertexte"/>
            <w:rFonts w:ascii="Arial" w:hAnsi="Arial" w:cs="Arial"/>
            <w:sz w:val="16"/>
            <w:szCs w:val="16"/>
          </w:rPr>
          <w:t>site Secondes-</w:t>
        </w:r>
        <w:r w:rsidR="00305503" w:rsidRPr="00073429">
          <w:rPr>
            <w:rStyle w:val="Lienhypertexte"/>
            <w:rFonts w:ascii="Arial" w:hAnsi="Arial" w:cs="Arial"/>
            <w:sz w:val="16"/>
            <w:szCs w:val="16"/>
          </w:rPr>
          <w:t>P</w:t>
        </w:r>
        <w:r w:rsidRPr="00073429">
          <w:rPr>
            <w:rStyle w:val="Lienhypertexte"/>
            <w:rFonts w:ascii="Arial" w:hAnsi="Arial" w:cs="Arial"/>
            <w:sz w:val="16"/>
            <w:szCs w:val="16"/>
          </w:rPr>
          <w:t>remières</w:t>
        </w:r>
      </w:hyperlink>
      <w:r w:rsidRPr="00073429">
        <w:rPr>
          <w:rStyle w:val="normaltextrun"/>
          <w:rFonts w:ascii="Arial" w:hAnsi="Arial" w:cs="Arial"/>
          <w:sz w:val="20"/>
          <w:szCs w:val="20"/>
        </w:rPr>
        <w:t xml:space="preserve"> : « Comparatif des principales filières d’études post-bac</w:t>
      </w:r>
      <w:r w:rsidR="00F61111" w:rsidRPr="00073429">
        <w:rPr>
          <w:rStyle w:val="normaltextrun"/>
          <w:rFonts w:ascii="Arial" w:hAnsi="Arial" w:cs="Arial"/>
          <w:sz w:val="20"/>
          <w:szCs w:val="20"/>
        </w:rPr>
        <w:t> </w:t>
      </w:r>
      <w:r w:rsidRPr="00073429">
        <w:rPr>
          <w:rStyle w:val="normaltextrun"/>
          <w:rFonts w:ascii="Arial" w:hAnsi="Arial" w:cs="Arial"/>
          <w:sz w:val="20"/>
          <w:szCs w:val="20"/>
        </w:rPr>
        <w:t>» : (lien 2021-2022) </w:t>
      </w:r>
    </w:p>
    <w:p w14:paraId="3D385D50" w14:textId="77777777" w:rsidR="002D1B73" w:rsidRPr="007D71EE" w:rsidRDefault="002D1B73" w:rsidP="002D1B73">
      <w:pPr>
        <w:rPr>
          <w:rStyle w:val="normaltextrun"/>
          <w:rFonts w:ascii="Arial" w:hAnsi="Arial" w:cs="Arial"/>
          <w:sz w:val="22"/>
          <w:szCs w:val="22"/>
        </w:rPr>
      </w:pPr>
    </w:p>
    <w:p w14:paraId="3660932A" w14:textId="3E896466" w:rsidR="002D1B73" w:rsidRPr="00073429" w:rsidRDefault="002D1B73" w:rsidP="002D1B73">
      <w:pPr>
        <w:rPr>
          <w:rStyle w:val="normaltextrun"/>
          <w:rFonts w:ascii="Arial" w:hAnsi="Arial" w:cs="Arial"/>
          <w:b/>
          <w:bCs/>
          <w:color w:val="000000"/>
          <w:sz w:val="20"/>
          <w:szCs w:val="20"/>
          <w:shd w:val="clear" w:color="auto" w:fill="FFFFFF"/>
        </w:rPr>
      </w:pPr>
      <w:r w:rsidRPr="00073429">
        <w:rPr>
          <w:rStyle w:val="normaltextrun"/>
          <w:rFonts w:ascii="Arial" w:hAnsi="Arial" w:cs="Arial"/>
          <w:b/>
          <w:bCs/>
          <w:color w:val="000000"/>
          <w:sz w:val="20"/>
          <w:szCs w:val="20"/>
          <w:shd w:val="clear" w:color="auto" w:fill="FFFFFF"/>
        </w:rPr>
        <w:t>Des écoles accréditées par la CTI</w:t>
      </w:r>
    </w:p>
    <w:p w14:paraId="31FA8894" w14:textId="77777777" w:rsidR="002D1B73" w:rsidRPr="00073429" w:rsidRDefault="002D1B73" w:rsidP="002D1B73">
      <w:pPr>
        <w:rPr>
          <w:rStyle w:val="normaltextrun"/>
          <w:rFonts w:ascii="Arial" w:hAnsi="Arial" w:cs="Arial"/>
          <w:b/>
          <w:bCs/>
          <w:color w:val="000000"/>
          <w:sz w:val="20"/>
          <w:szCs w:val="20"/>
          <w:shd w:val="clear" w:color="auto" w:fill="FFFFFF"/>
        </w:rPr>
      </w:pPr>
    </w:p>
    <w:p w14:paraId="735652D4" w14:textId="77777777" w:rsidR="002D1B73" w:rsidRPr="00073429" w:rsidRDefault="002D1B73" w:rsidP="002D1B73">
      <w:pPr>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 xml:space="preserve">En formation initiale, 5 années sont nécessaires pour obtenir le titre d’ingénieur diplômé, titre protégé et conférant le grade de master. </w:t>
      </w:r>
    </w:p>
    <w:p w14:paraId="51B490A4" w14:textId="77777777" w:rsidR="002D1B73" w:rsidRPr="00073429" w:rsidRDefault="002D1B73" w:rsidP="002D1B73">
      <w:pPr>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 xml:space="preserve">Près de 250 écoles d’ingénieurs sont accréditées à délivrer ce titre sur avis de la CTI (commission des titres d’ingénieur). La liste des établissements accrédités est publiée chaque année au Journal officiel. Recherche possible sur </w:t>
      </w:r>
      <w:hyperlink r:id="rId15" w:history="1">
        <w:r w:rsidRPr="00073429">
          <w:rPr>
            <w:rStyle w:val="Lienhypertexte"/>
            <w:rFonts w:ascii="Arial" w:hAnsi="Arial" w:cs="Arial"/>
            <w:sz w:val="16"/>
            <w:szCs w:val="16"/>
            <w:shd w:val="clear" w:color="auto" w:fill="FFFFFF"/>
          </w:rPr>
          <w:t>https://www.cti-commission.fr</w:t>
        </w:r>
      </w:hyperlink>
      <w:r w:rsidRPr="00073429">
        <w:rPr>
          <w:rStyle w:val="normaltextrun"/>
          <w:rFonts w:ascii="Arial" w:hAnsi="Arial" w:cs="Arial"/>
          <w:color w:val="000000"/>
          <w:sz w:val="20"/>
          <w:szCs w:val="20"/>
          <w:shd w:val="clear" w:color="auto" w:fill="FFFFFF"/>
        </w:rPr>
        <w:t>.</w:t>
      </w:r>
    </w:p>
    <w:p w14:paraId="171DC6B6" w14:textId="77777777" w:rsidR="002D1B73" w:rsidRPr="00073429" w:rsidRDefault="002D1B73" w:rsidP="002D1B73">
      <w:pPr>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 xml:space="preserve">Les écoles accréditées varient par leur statut (public, privé, consulaire), leur taille, leur durée (3 ou 5 ans) ou leur localisation. </w:t>
      </w:r>
    </w:p>
    <w:p w14:paraId="6C5CF381" w14:textId="77777777" w:rsidR="002D1B73" w:rsidRPr="00073429" w:rsidRDefault="002D1B73" w:rsidP="002D1B73">
      <w:pPr>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Les écoles publiques sont les plus nombreuses, et se distinguent par leur ministère de tutelle (Enseignement supérieur, Défense, Économie, Énergie, Développement durable, Agriculture). Certaines sont internes aux universités. Quelques-unes forment des fonctionnaires, comme les écoles militaires et des écoles spécialisées.</w:t>
      </w:r>
    </w:p>
    <w:p w14:paraId="44F68F54" w14:textId="77777777" w:rsidR="002D1B73" w:rsidRPr="00073429" w:rsidRDefault="002D1B73" w:rsidP="002D1B73">
      <w:pPr>
        <w:jc w:val="both"/>
        <w:rPr>
          <w:rStyle w:val="normaltextrun"/>
          <w:rFonts w:ascii="Arial" w:hAnsi="Arial" w:cs="Arial"/>
          <w:color w:val="000000"/>
          <w:sz w:val="20"/>
          <w:szCs w:val="20"/>
          <w:shd w:val="clear" w:color="auto" w:fill="FFFFFF"/>
        </w:rPr>
      </w:pPr>
    </w:p>
    <w:p w14:paraId="41E55FE8" w14:textId="77777777" w:rsidR="002D1B73" w:rsidRPr="00073429" w:rsidRDefault="002D1B73" w:rsidP="002D1B73">
      <w:pPr>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Exemples d’écoles :</w:t>
      </w:r>
    </w:p>
    <w:p w14:paraId="179D31AF" w14:textId="77777777" w:rsidR="002D1B73" w:rsidRPr="00073429" w:rsidRDefault="002D1B73" w:rsidP="002D1B73">
      <w:pPr>
        <w:pStyle w:val="Paragraphedeliste"/>
        <w:numPr>
          <w:ilvl w:val="0"/>
          <w:numId w:val="2"/>
        </w:numPr>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 xml:space="preserve">Statut public : </w:t>
      </w:r>
      <w:proofErr w:type="spellStart"/>
      <w:r w:rsidRPr="00073429">
        <w:rPr>
          <w:rStyle w:val="normaltextrun"/>
          <w:rFonts w:ascii="Arial" w:hAnsi="Arial" w:cs="Arial"/>
          <w:color w:val="000000"/>
          <w:sz w:val="20"/>
          <w:szCs w:val="20"/>
          <w:shd w:val="clear" w:color="auto" w:fill="FFFFFF"/>
        </w:rPr>
        <w:t>Insa</w:t>
      </w:r>
      <w:proofErr w:type="spellEnd"/>
      <w:r w:rsidRPr="00073429">
        <w:rPr>
          <w:rStyle w:val="normaltextrun"/>
          <w:rFonts w:ascii="Arial" w:hAnsi="Arial" w:cs="Arial"/>
          <w:color w:val="000000"/>
          <w:sz w:val="20"/>
          <w:szCs w:val="20"/>
          <w:shd w:val="clear" w:color="auto" w:fill="FFFFFF"/>
        </w:rPr>
        <w:t xml:space="preserve"> (Instituts nationaux des sciences appliquées), ENI (Écoles nationales d'ingénieurs), écoles rattachées aux universités (réseau Polytech, réseau INP, universités de technologie)…</w:t>
      </w:r>
      <w:r w:rsidRPr="00073429">
        <w:rPr>
          <w:rStyle w:val="normaltextrun"/>
          <w:color w:val="000000"/>
          <w:sz w:val="20"/>
          <w:szCs w:val="20"/>
          <w:shd w:val="clear" w:color="auto" w:fill="FFFFFF"/>
        </w:rPr>
        <w:t xml:space="preserve"> </w:t>
      </w:r>
    </w:p>
    <w:p w14:paraId="0487B75B" w14:textId="77777777" w:rsidR="002D1B73" w:rsidRPr="00073429" w:rsidRDefault="002D1B73" w:rsidP="002D1B73">
      <w:pPr>
        <w:pStyle w:val="Paragraphedeliste"/>
        <w:numPr>
          <w:ilvl w:val="0"/>
          <w:numId w:val="2"/>
        </w:numPr>
        <w:rPr>
          <w:rStyle w:val="normaltextrun"/>
          <w:color w:val="000000"/>
          <w:sz w:val="20"/>
          <w:szCs w:val="20"/>
          <w:shd w:val="clear" w:color="auto" w:fill="FFFFFF"/>
        </w:rPr>
      </w:pPr>
      <w:r w:rsidRPr="00073429">
        <w:rPr>
          <w:rStyle w:val="normaltextrun"/>
          <w:rFonts w:ascii="Arial" w:hAnsi="Arial" w:cs="Arial"/>
          <w:color w:val="000000"/>
          <w:sz w:val="20"/>
          <w:szCs w:val="20"/>
          <w:shd w:val="clear" w:color="auto" w:fill="FFFFFF"/>
        </w:rPr>
        <w:t xml:space="preserve">Statut privé : écoles de la </w:t>
      </w:r>
      <w:proofErr w:type="spellStart"/>
      <w:r w:rsidRPr="00073429">
        <w:rPr>
          <w:rStyle w:val="normaltextrun"/>
          <w:rFonts w:ascii="Arial" w:hAnsi="Arial" w:cs="Arial"/>
          <w:color w:val="000000"/>
          <w:sz w:val="20"/>
          <w:szCs w:val="20"/>
          <w:shd w:val="clear" w:color="auto" w:fill="FFFFFF"/>
        </w:rPr>
        <w:t>Fésic</w:t>
      </w:r>
      <w:proofErr w:type="spellEnd"/>
      <w:r w:rsidRPr="00073429">
        <w:rPr>
          <w:rStyle w:val="normaltextrun"/>
          <w:rFonts w:ascii="Arial" w:hAnsi="Arial" w:cs="Arial"/>
          <w:color w:val="000000"/>
          <w:sz w:val="20"/>
          <w:szCs w:val="20"/>
          <w:shd w:val="clear" w:color="auto" w:fill="FFFFFF"/>
        </w:rPr>
        <w:t xml:space="preserve"> (Fédération des établissements d’enseignement supérieur d’intérêt collectif)</w:t>
      </w:r>
    </w:p>
    <w:p w14:paraId="6591DB0C" w14:textId="77777777" w:rsidR="002D1B73" w:rsidRPr="00073429" w:rsidRDefault="002D1B73" w:rsidP="002D1B73">
      <w:pPr>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À noter : la profession d’ingénieur est non réglementée en France ; des embauches sur les postes d’ingénieur restent possibles sans le titre d’ingénieur diplômé. Pour les ingénieurs en fonction, il est également possible d’obtenir un titre d’ingénieur diplômé en formation continue, par la validation des acquis de l’expérience (possibilité offerte par chaque école) ou en passant un examen conduisant à la délivrance du titre d’ingénieur diplômé par l’État (DPE).</w:t>
      </w:r>
    </w:p>
    <w:p w14:paraId="278D5605" w14:textId="77777777" w:rsidR="002D1B73" w:rsidRPr="00073429" w:rsidRDefault="002D1B73" w:rsidP="002D1B73">
      <w:pPr>
        <w:rPr>
          <w:rStyle w:val="normaltextrun"/>
          <w:rFonts w:ascii="Arial" w:hAnsi="Arial" w:cs="Arial"/>
          <w:color w:val="000000"/>
          <w:sz w:val="20"/>
          <w:szCs w:val="20"/>
          <w:shd w:val="clear" w:color="auto" w:fill="FFFFFF"/>
        </w:rPr>
      </w:pPr>
    </w:p>
    <w:p w14:paraId="5FB86322" w14:textId="77777777" w:rsidR="00073429" w:rsidRDefault="00073429">
      <w:pPr>
        <w:rPr>
          <w:rStyle w:val="normaltextrun"/>
          <w:rFonts w:ascii="Arial" w:hAnsi="Arial" w:cs="Arial"/>
          <w:b/>
          <w:bCs/>
          <w:color w:val="000000"/>
          <w:sz w:val="20"/>
          <w:szCs w:val="20"/>
          <w:shd w:val="clear" w:color="auto" w:fill="FFFFFF"/>
        </w:rPr>
      </w:pPr>
      <w:r>
        <w:rPr>
          <w:rStyle w:val="normaltextrun"/>
          <w:rFonts w:ascii="Arial" w:hAnsi="Arial" w:cs="Arial"/>
          <w:b/>
          <w:bCs/>
          <w:color w:val="000000"/>
          <w:sz w:val="20"/>
          <w:szCs w:val="20"/>
          <w:shd w:val="clear" w:color="auto" w:fill="FFFFFF"/>
        </w:rPr>
        <w:br w:type="page"/>
      </w:r>
    </w:p>
    <w:p w14:paraId="7429BE8D" w14:textId="4687B85B" w:rsidR="002D1B73" w:rsidRPr="00073429" w:rsidRDefault="002D1B73" w:rsidP="002D1B73">
      <w:pPr>
        <w:rPr>
          <w:rStyle w:val="normaltextrun"/>
          <w:rFonts w:ascii="Arial" w:hAnsi="Arial" w:cs="Arial"/>
          <w:b/>
          <w:bCs/>
          <w:color w:val="000000"/>
          <w:sz w:val="20"/>
          <w:szCs w:val="20"/>
          <w:shd w:val="clear" w:color="auto" w:fill="FFFFFF"/>
        </w:rPr>
      </w:pPr>
      <w:r w:rsidRPr="00073429">
        <w:rPr>
          <w:rStyle w:val="normaltextrun"/>
          <w:rFonts w:ascii="Arial" w:hAnsi="Arial" w:cs="Arial"/>
          <w:b/>
          <w:bCs/>
          <w:color w:val="000000"/>
          <w:sz w:val="20"/>
          <w:szCs w:val="20"/>
          <w:shd w:val="clear" w:color="auto" w:fill="FFFFFF"/>
        </w:rPr>
        <w:lastRenderedPageBreak/>
        <w:t xml:space="preserve">Une admission sélective, possible à différents niveaux </w:t>
      </w:r>
    </w:p>
    <w:p w14:paraId="00802508" w14:textId="77777777" w:rsidR="002D1B73" w:rsidRPr="00073429" w:rsidRDefault="002D1B73" w:rsidP="002D1B73">
      <w:pPr>
        <w:rPr>
          <w:rStyle w:val="normaltextrun"/>
          <w:rFonts w:ascii="Arial" w:hAnsi="Arial" w:cs="Arial"/>
          <w:b/>
          <w:bCs/>
          <w:color w:val="000000"/>
          <w:sz w:val="20"/>
          <w:szCs w:val="20"/>
          <w:shd w:val="clear" w:color="auto" w:fill="FFFFFF"/>
        </w:rPr>
      </w:pPr>
    </w:p>
    <w:p w14:paraId="4F19567B" w14:textId="77777777" w:rsidR="002D1B73" w:rsidRPr="00073429" w:rsidRDefault="002D1B73" w:rsidP="002D1B73">
      <w:pPr>
        <w:spacing w:after="120"/>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Les écoles d’ingénieurs les plus prestigieuses sont souvent très sélectives, les moins connues sont plus accessibles.</w:t>
      </w:r>
    </w:p>
    <w:p w14:paraId="1A179DD4" w14:textId="77777777" w:rsidR="002D1B73" w:rsidRPr="00073429" w:rsidRDefault="002D1B73" w:rsidP="002D1B73">
      <w:pPr>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 xml:space="preserve">L’admission s’effectue après étude de dossier scolaire et/ou entretien, épreuves écrites. </w:t>
      </w:r>
    </w:p>
    <w:p w14:paraId="170E9799" w14:textId="77777777" w:rsidR="002D1B73" w:rsidRPr="00073429" w:rsidRDefault="002D1B73" w:rsidP="002D1B73">
      <w:pPr>
        <w:spacing w:after="120"/>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Plusieurs niveaux de recrutement sont possibles. Chaque école détermine elle-même le nombre de places offertes aux différents niveaux de recrutement.</w:t>
      </w:r>
    </w:p>
    <w:p w14:paraId="25DA8A4C" w14:textId="77777777" w:rsidR="002D1B73" w:rsidRPr="00073429" w:rsidRDefault="002D1B73" w:rsidP="002D1B73">
      <w:pPr>
        <w:spacing w:after="120"/>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Après le bac ou après un bac + 2, le recrutement s’effectue généralement sur concours commun (ce qui permet de postuler à plusieurs établissements en se limitant à une seule série d’épreuves).</w:t>
      </w:r>
    </w:p>
    <w:p w14:paraId="4BF8448C" w14:textId="77777777" w:rsidR="002D1B73" w:rsidRPr="00073429" w:rsidRDefault="002D1B73" w:rsidP="002D1B73">
      <w:pPr>
        <w:spacing w:after="120"/>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 xml:space="preserve">La quasi-totalité des écoles recrute aussi après un premier cursus dans l’enseignement supérieur via les admissions parallèles (épreuves de recrutement propres à l’école). </w:t>
      </w:r>
    </w:p>
    <w:p w14:paraId="0E6A9EE1" w14:textId="77777777" w:rsidR="002D1B73" w:rsidRPr="00073429" w:rsidRDefault="002D1B73" w:rsidP="002D1B73">
      <w:pPr>
        <w:spacing w:after="120"/>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 xml:space="preserve">Un quart des élèves entrent dans des écoles d’ingénieurs accessibles directement après le baccalauréat (environ une centaine d’écoles) : celles-ci possèdent une prépa intégrée permettant un accès au cycle d’ingénieur sans concours. </w:t>
      </w:r>
      <w:r w:rsidRPr="00073429">
        <w:rPr>
          <w:rFonts w:ascii="Arial" w:hAnsi="Arial" w:cs="Arial"/>
          <w:sz w:val="20"/>
          <w:szCs w:val="20"/>
        </w:rPr>
        <w:t>L’accès se fait sur concours avec le bac général, voire STI2D, STL ou STAV…</w:t>
      </w:r>
    </w:p>
    <w:p w14:paraId="2B5DE66C" w14:textId="77777777" w:rsidR="002D1B73" w:rsidRPr="00073429" w:rsidRDefault="002D1B73" w:rsidP="002D1B73">
      <w:pPr>
        <w:spacing w:after="120"/>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 xml:space="preserve">Pour 7 élèves sur 10, l’admission en écoles d’ingénieurs s’effectue après un bac + 2 : </w:t>
      </w:r>
      <w:r w:rsidRPr="00073429">
        <w:rPr>
          <w:rFonts w:ascii="Arial" w:hAnsi="Arial" w:cs="Arial"/>
          <w:sz w:val="20"/>
          <w:szCs w:val="20"/>
        </w:rPr>
        <w:t xml:space="preserve">CPGE (classes préparatoires aux grandes écoles) </w:t>
      </w:r>
      <w:r w:rsidRPr="00073429">
        <w:rPr>
          <w:rStyle w:val="normaltextrun"/>
          <w:rFonts w:ascii="Arial" w:hAnsi="Arial" w:cs="Arial"/>
          <w:color w:val="000000"/>
          <w:sz w:val="20"/>
          <w:szCs w:val="20"/>
          <w:shd w:val="clear" w:color="auto" w:fill="FFFFFF"/>
        </w:rPr>
        <w:t>scientifiques, CPC (cycles préparatoires communs : prépa INP, PEIP…), DUT-BTS-BTSA.</w:t>
      </w:r>
    </w:p>
    <w:p w14:paraId="4C5D780D" w14:textId="77777777" w:rsidR="002D1B73" w:rsidRPr="00073429" w:rsidRDefault="002D1B73" w:rsidP="002D1B73">
      <w:pPr>
        <w:spacing w:after="120"/>
        <w:jc w:val="both"/>
        <w:rPr>
          <w:rStyle w:val="normaltextrun"/>
          <w:rFonts w:ascii="Arial" w:hAnsi="Arial" w:cs="Arial"/>
          <w:color w:val="000000"/>
          <w:sz w:val="20"/>
          <w:szCs w:val="20"/>
          <w:shd w:val="clear" w:color="auto" w:fill="FFFFFF"/>
        </w:rPr>
      </w:pPr>
      <w:r w:rsidRPr="00073429">
        <w:rPr>
          <w:rFonts w:ascii="Arial" w:hAnsi="Arial" w:cs="Arial"/>
          <w:sz w:val="20"/>
          <w:szCs w:val="20"/>
        </w:rPr>
        <w:t>Plus d’un tiers des élèves entrant en cycle d’ingénieur proviennent de CPGE scientifiques. Celles-ci ouvrent à un large choix d’écoles, contrairement aux écoles avec cycles préparatoires communs.</w:t>
      </w:r>
    </w:p>
    <w:p w14:paraId="38D37B1E" w14:textId="77777777" w:rsidR="002D1B73" w:rsidRPr="00073429" w:rsidRDefault="002D1B73" w:rsidP="002D1B73">
      <w:pPr>
        <w:spacing w:after="120"/>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 xml:space="preserve">Pour les titulaires d’un BTS-BTSA-DUT, les prépas ATS (classe préparatoire d'adaptation de techniciens supérieurs) en 1 an permettent de consolider son niveau dans les matières scientifiques et littéraires. </w:t>
      </w:r>
    </w:p>
    <w:p w14:paraId="2426F30F" w14:textId="77777777" w:rsidR="002D1B73" w:rsidRPr="00073429" w:rsidRDefault="002D1B73" w:rsidP="002D1B73">
      <w:pPr>
        <w:spacing w:after="120"/>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Les écoles en 5 ans peuvent recruter aussi au compte-gouttes avec un bac + 1 validé : CPGE1, 1</w:t>
      </w:r>
      <w:r w:rsidRPr="00073429">
        <w:rPr>
          <w:rStyle w:val="normaltextrun"/>
          <w:rFonts w:ascii="Arial" w:hAnsi="Arial" w:cs="Arial"/>
          <w:color w:val="000000"/>
          <w:sz w:val="20"/>
          <w:szCs w:val="20"/>
          <w:shd w:val="clear" w:color="auto" w:fill="FFFFFF"/>
          <w:vertAlign w:val="superscript"/>
        </w:rPr>
        <w:t>re</w:t>
      </w:r>
      <w:r w:rsidRPr="00073429">
        <w:rPr>
          <w:rStyle w:val="normaltextrun"/>
          <w:rFonts w:ascii="Arial" w:hAnsi="Arial" w:cs="Arial"/>
          <w:color w:val="000000"/>
          <w:sz w:val="20"/>
          <w:szCs w:val="20"/>
          <w:shd w:val="clear" w:color="auto" w:fill="FFFFFF"/>
        </w:rPr>
        <w:t xml:space="preserve"> année de prépa intégrée, L1, PASS/LAS… mais surtout à bac + 2 ou bac + 3 (L3, LP…).</w:t>
      </w:r>
    </w:p>
    <w:p w14:paraId="05475308" w14:textId="77777777" w:rsidR="002D1B73" w:rsidRPr="00073429" w:rsidRDefault="002D1B73" w:rsidP="002D1B73">
      <w:pPr>
        <w:spacing w:after="120"/>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Pour permettre une entrée à bac + 2 ou 3, une vingtaine d’universités proposent des cursus spécifiques dans le cadre d’une licence scientifique dits cursus renforcés ou parcours cycle universitaire préparatoire aux grandes écoles.</w:t>
      </w:r>
    </w:p>
    <w:p w14:paraId="1C48FF73" w14:textId="77777777" w:rsidR="002D1B73" w:rsidRPr="00073429" w:rsidRDefault="002D1B73" w:rsidP="002D1B73">
      <w:pPr>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Il est également possible de tenter une entrée en 2</w:t>
      </w:r>
      <w:r w:rsidRPr="00073429">
        <w:rPr>
          <w:rStyle w:val="normaltextrun"/>
          <w:rFonts w:ascii="Arial" w:hAnsi="Arial" w:cs="Arial"/>
          <w:color w:val="000000"/>
          <w:sz w:val="20"/>
          <w:szCs w:val="20"/>
          <w:shd w:val="clear" w:color="auto" w:fill="FFFFFF"/>
          <w:vertAlign w:val="superscript"/>
        </w:rPr>
        <w:t>e</w:t>
      </w:r>
      <w:r w:rsidRPr="00073429">
        <w:rPr>
          <w:rStyle w:val="normaltextrun"/>
          <w:rFonts w:ascii="Arial" w:hAnsi="Arial" w:cs="Arial"/>
          <w:color w:val="000000"/>
          <w:sz w:val="20"/>
          <w:szCs w:val="20"/>
          <w:shd w:val="clear" w:color="auto" w:fill="FFFFFF"/>
        </w:rPr>
        <w:t xml:space="preserve"> année de cycle d’ingénieur à bac + 4 (M1).</w:t>
      </w:r>
    </w:p>
    <w:p w14:paraId="377C9254" w14:textId="77777777" w:rsidR="002D1B73" w:rsidRPr="00073429" w:rsidRDefault="002D1B73" w:rsidP="002D1B73">
      <w:pPr>
        <w:jc w:val="both"/>
        <w:rPr>
          <w:rStyle w:val="normaltextrun"/>
          <w:rFonts w:ascii="Arial" w:hAnsi="Arial" w:cs="Arial"/>
          <w:color w:val="000000"/>
          <w:sz w:val="20"/>
          <w:szCs w:val="20"/>
          <w:shd w:val="clear" w:color="auto" w:fill="FFFFFF"/>
        </w:rPr>
      </w:pPr>
    </w:p>
    <w:p w14:paraId="41067928" w14:textId="77777777" w:rsidR="002D1B73" w:rsidRPr="00073429" w:rsidRDefault="002D1B73" w:rsidP="002D1B73">
      <w:pPr>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Il n’y a pas que les écoles qui préparent aux fonctions d’ingénieur. Il existe également des cursus universitaires. Des masters scientifiques obtenus à l’université, notamment ceux du réseau CMI (cursus master en ingénierie) Figure peuvent conduire à exercer le métier d’ingénieur (sans obtenir le titre d’ingénieur diplômé délivré par la CTI).</w:t>
      </w:r>
    </w:p>
    <w:p w14:paraId="3062C8CD" w14:textId="77777777" w:rsidR="002D1B73" w:rsidRPr="00073429" w:rsidRDefault="002D1B73" w:rsidP="002D1B73">
      <w:pPr>
        <w:jc w:val="both"/>
        <w:rPr>
          <w:rStyle w:val="normaltextrun"/>
          <w:rFonts w:ascii="Arial" w:hAnsi="Arial" w:cs="Arial"/>
          <w:color w:val="000000"/>
          <w:sz w:val="20"/>
          <w:szCs w:val="20"/>
          <w:shd w:val="clear" w:color="auto" w:fill="FFFFFF"/>
        </w:rPr>
      </w:pPr>
    </w:p>
    <w:p w14:paraId="58BE2F12" w14:textId="77777777" w:rsidR="002D1B73" w:rsidRPr="00073429" w:rsidRDefault="002D1B73" w:rsidP="002D1B73">
      <w:pPr>
        <w:jc w:val="both"/>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 xml:space="preserve">À noter également : certaines écoles d’ingénieur accréditées par la CTI proposent des diplômes d’écoles appelés </w:t>
      </w:r>
      <w:proofErr w:type="spellStart"/>
      <w:r w:rsidRPr="00073429">
        <w:rPr>
          <w:rStyle w:val="normaltextrun"/>
          <w:rFonts w:ascii="Arial" w:hAnsi="Arial" w:cs="Arial"/>
          <w:color w:val="000000"/>
          <w:sz w:val="20"/>
          <w:szCs w:val="20"/>
          <w:shd w:val="clear" w:color="auto" w:fill="FFFFFF"/>
        </w:rPr>
        <w:t>bachelors</w:t>
      </w:r>
      <w:proofErr w:type="spellEnd"/>
      <w:r w:rsidRPr="00073429">
        <w:rPr>
          <w:rStyle w:val="normaltextrun"/>
          <w:rFonts w:ascii="Arial" w:hAnsi="Arial" w:cs="Arial"/>
          <w:color w:val="000000"/>
          <w:sz w:val="20"/>
          <w:szCs w:val="20"/>
          <w:shd w:val="clear" w:color="auto" w:fill="FFFFFF"/>
        </w:rPr>
        <w:t>, qui forment des cadres intermédiaires en ingénierie. Certains sont inscrits au RNCP (répertoire national des certifications professionnelles). Après évaluation de la CTI, certains d’entre eux pourront conférer le grade de licence à la rentrée 2023.</w:t>
      </w:r>
    </w:p>
    <w:p w14:paraId="1320B423" w14:textId="77777777" w:rsidR="002D1B73" w:rsidRPr="007D71EE" w:rsidRDefault="002D1B73" w:rsidP="002D1B73">
      <w:pPr>
        <w:jc w:val="both"/>
        <w:rPr>
          <w:rStyle w:val="normaltextrun"/>
          <w:rFonts w:ascii="Arial" w:hAnsi="Arial" w:cs="Arial"/>
          <w:color w:val="000000"/>
          <w:sz w:val="22"/>
          <w:szCs w:val="22"/>
          <w:shd w:val="clear" w:color="auto" w:fill="FFFFFF"/>
        </w:rPr>
      </w:pPr>
    </w:p>
    <w:p w14:paraId="68AB5A16" w14:textId="77777777" w:rsidR="002D1B73" w:rsidRPr="00073429" w:rsidRDefault="002D1B73" w:rsidP="002D1B73">
      <w:pPr>
        <w:spacing w:after="120"/>
        <w:jc w:val="both"/>
        <w:rPr>
          <w:b/>
          <w:bCs/>
          <w:sz w:val="20"/>
          <w:szCs w:val="20"/>
        </w:rPr>
      </w:pPr>
      <w:r w:rsidRPr="00073429">
        <w:rPr>
          <w:rFonts w:ascii="Arial" w:hAnsi="Arial" w:cs="Arial"/>
          <w:b/>
          <w:bCs/>
          <w:sz w:val="20"/>
          <w:szCs w:val="20"/>
        </w:rPr>
        <w:t>À lire sur Onisep.fr</w:t>
      </w:r>
    </w:p>
    <w:p w14:paraId="10ABE0C0" w14:textId="562D0AE3" w:rsidR="002D1B73" w:rsidRPr="00073429" w:rsidRDefault="002D1B73" w:rsidP="002D1B73">
      <w:pPr>
        <w:pStyle w:val="Paragraphedeliste"/>
        <w:numPr>
          <w:ilvl w:val="0"/>
          <w:numId w:val="7"/>
        </w:numPr>
        <w:spacing w:after="120" w:line="257" w:lineRule="auto"/>
        <w:ind w:left="714" w:hanging="357"/>
        <w:rPr>
          <w:rStyle w:val="Lienhypertexte"/>
          <w:sz w:val="20"/>
          <w:szCs w:val="20"/>
          <w:shd w:val="clear" w:color="auto" w:fill="FFFFFF"/>
        </w:rPr>
      </w:pPr>
      <w:r w:rsidRPr="00073429">
        <w:rPr>
          <w:rFonts w:ascii="Arial" w:hAnsi="Arial" w:cs="Arial"/>
          <w:sz w:val="20"/>
          <w:szCs w:val="20"/>
        </w:rPr>
        <w:t xml:space="preserve">Les écoles d’ingénieurs : </w:t>
      </w:r>
      <w:hyperlink r:id="rId16" w:history="1">
        <w:r w:rsidR="003365E4">
          <w:rPr>
            <w:rStyle w:val="Lienhypertexte"/>
            <w:rFonts w:ascii="Arial" w:hAnsi="Arial" w:cs="Arial"/>
            <w:sz w:val="16"/>
            <w:szCs w:val="16"/>
            <w:shd w:val="clear" w:color="auto" w:fill="FFFFFF"/>
          </w:rPr>
          <w:t>https://explorer-avenirs.onisep.fr/formation/les-principaux-domaines-de-formation/les-ecoles-d-ingenieurs/quiz-ecoles-d-ingenieurs</w:t>
        </w:r>
      </w:hyperlink>
      <w:r w:rsidRPr="00073429">
        <w:rPr>
          <w:rStyle w:val="Lienhypertexte"/>
          <w:rFonts w:ascii="Arial" w:hAnsi="Arial" w:cs="Arial"/>
          <w:sz w:val="20"/>
          <w:szCs w:val="20"/>
          <w:shd w:val="clear" w:color="auto" w:fill="FFFFFF"/>
        </w:rPr>
        <w:t xml:space="preserve"> </w:t>
      </w:r>
    </w:p>
    <w:p w14:paraId="2CD9E8AA" w14:textId="77777777" w:rsidR="002D1B73" w:rsidRPr="00073429" w:rsidRDefault="002D1B73" w:rsidP="002D1B73">
      <w:pPr>
        <w:pStyle w:val="Paragraphedeliste"/>
        <w:spacing w:after="120" w:line="257" w:lineRule="auto"/>
        <w:ind w:left="714"/>
        <w:jc w:val="both"/>
        <w:rPr>
          <w:rStyle w:val="Lienhypertexte"/>
          <w:sz w:val="20"/>
          <w:szCs w:val="20"/>
          <w:shd w:val="clear" w:color="auto" w:fill="FFFFFF"/>
        </w:rPr>
      </w:pPr>
    </w:p>
    <w:p w14:paraId="3EBF7D1A" w14:textId="605ADDE6" w:rsidR="002D1B73" w:rsidRPr="00073429" w:rsidRDefault="002D1B73" w:rsidP="002D1B73">
      <w:pPr>
        <w:pStyle w:val="Paragraphedeliste"/>
        <w:numPr>
          <w:ilvl w:val="0"/>
          <w:numId w:val="7"/>
        </w:numPr>
        <w:rPr>
          <w:rStyle w:val="normaltextrun"/>
          <w:color w:val="000000"/>
          <w:sz w:val="20"/>
          <w:szCs w:val="20"/>
        </w:rPr>
      </w:pPr>
      <w:r w:rsidRPr="00073429">
        <w:rPr>
          <w:rStyle w:val="normaltextrun"/>
          <w:rFonts w:ascii="Arial" w:hAnsi="Arial" w:cs="Arial"/>
          <w:color w:val="000000"/>
          <w:sz w:val="20"/>
          <w:szCs w:val="20"/>
          <w:shd w:val="clear" w:color="auto" w:fill="FFFFFF"/>
        </w:rPr>
        <w:t xml:space="preserve">Les différentes voies d’accès en école d’ingénieurs : </w:t>
      </w:r>
      <w:hyperlink r:id="rId17" w:history="1">
        <w:r w:rsidR="003365E4">
          <w:rPr>
            <w:rStyle w:val="Lienhypertexte"/>
            <w:rFonts w:ascii="Arial" w:hAnsi="Arial" w:cs="Arial"/>
            <w:sz w:val="16"/>
            <w:szCs w:val="16"/>
            <w:shd w:val="clear" w:color="auto" w:fill="FFFFFF"/>
          </w:rPr>
          <w:t>https://explorer-avenirs.onisep.fr/formation/les-principaux-domaines-de-formation/les-ecoles-d-ingenieurs/les-differentes-voies-d-acces-en-ecole-d-ingenieurs</w:t>
        </w:r>
      </w:hyperlink>
    </w:p>
    <w:p w14:paraId="5BD4B4A3" w14:textId="43558153" w:rsidR="00F61111" w:rsidRPr="00073429" w:rsidRDefault="00F61111" w:rsidP="00F61111">
      <w:pPr>
        <w:rPr>
          <w:rStyle w:val="normaltextrun"/>
          <w:rFonts w:ascii="Arial" w:hAnsi="Arial" w:cs="Arial"/>
          <w:b/>
          <w:bCs/>
          <w:color w:val="2F5496" w:themeColor="accent1" w:themeShade="BF"/>
          <w:sz w:val="20"/>
          <w:szCs w:val="20"/>
          <w:shd w:val="clear" w:color="auto" w:fill="FFFFFF"/>
        </w:rPr>
      </w:pPr>
    </w:p>
    <w:p w14:paraId="424F251E" w14:textId="714FD32D" w:rsidR="00305503" w:rsidRPr="00073429" w:rsidRDefault="00305503" w:rsidP="00F61111">
      <w:pPr>
        <w:rPr>
          <w:rStyle w:val="normaltextrun"/>
          <w:rFonts w:ascii="Arial" w:hAnsi="Arial" w:cs="Arial"/>
          <w:b/>
          <w:bCs/>
          <w:color w:val="2F5496" w:themeColor="accent1" w:themeShade="BF"/>
          <w:sz w:val="20"/>
          <w:szCs w:val="20"/>
          <w:shd w:val="clear" w:color="auto" w:fill="FFFFFF"/>
        </w:rPr>
      </w:pPr>
    </w:p>
    <w:p w14:paraId="1E65590A" w14:textId="77777777" w:rsidR="00305503" w:rsidRPr="00073429" w:rsidRDefault="00305503" w:rsidP="00F61111">
      <w:pPr>
        <w:rPr>
          <w:rStyle w:val="normaltextrun"/>
          <w:rFonts w:ascii="Arial" w:hAnsi="Arial" w:cs="Arial"/>
          <w:b/>
          <w:bCs/>
          <w:color w:val="2F5496" w:themeColor="accent1" w:themeShade="BF"/>
          <w:sz w:val="20"/>
          <w:szCs w:val="20"/>
          <w:shd w:val="clear" w:color="auto" w:fill="FFFFFF"/>
        </w:rPr>
      </w:pPr>
    </w:p>
    <w:p w14:paraId="6E424B0F" w14:textId="06B5B001" w:rsidR="002D1B73" w:rsidRDefault="002D1B73" w:rsidP="00073429">
      <w:pPr>
        <w:rPr>
          <w:rStyle w:val="normaltextrun"/>
          <w:rFonts w:ascii="Arial" w:hAnsi="Arial" w:cs="Arial"/>
          <w:b/>
          <w:bCs/>
          <w:color w:val="2F5496" w:themeColor="accent1" w:themeShade="BF"/>
          <w:sz w:val="20"/>
          <w:szCs w:val="20"/>
          <w:shd w:val="clear" w:color="auto" w:fill="FFFFFF"/>
        </w:rPr>
      </w:pPr>
      <w:r w:rsidRPr="00073429">
        <w:rPr>
          <w:rStyle w:val="normaltextrun"/>
          <w:rFonts w:ascii="Arial" w:hAnsi="Arial" w:cs="Arial"/>
          <w:b/>
          <w:bCs/>
          <w:color w:val="2F5496" w:themeColor="accent1" w:themeShade="BF"/>
          <w:sz w:val="20"/>
          <w:szCs w:val="20"/>
          <w:shd w:val="clear" w:color="auto" w:fill="FFFFFF"/>
        </w:rPr>
        <w:lastRenderedPageBreak/>
        <w:t>Glossaire</w:t>
      </w:r>
    </w:p>
    <w:p w14:paraId="0CF942E3" w14:textId="77777777" w:rsidR="00073429" w:rsidRPr="00073429" w:rsidRDefault="00073429" w:rsidP="00073429">
      <w:pPr>
        <w:rPr>
          <w:rStyle w:val="normaltextrun"/>
          <w:rFonts w:ascii="Arial" w:hAnsi="Arial" w:cs="Arial"/>
          <w:b/>
          <w:bCs/>
          <w:color w:val="2F5496" w:themeColor="accent1" w:themeShade="BF"/>
          <w:sz w:val="20"/>
          <w:szCs w:val="20"/>
          <w:shd w:val="clear" w:color="auto" w:fill="FFFFFF"/>
        </w:rPr>
      </w:pPr>
    </w:p>
    <w:p w14:paraId="00467E6E" w14:textId="77777777" w:rsidR="002D1B73" w:rsidRPr="00073429" w:rsidRDefault="002D1B73" w:rsidP="002D1B73">
      <w:pPr>
        <w:spacing w:after="120"/>
        <w:jc w:val="both"/>
        <w:rPr>
          <w:sz w:val="20"/>
          <w:szCs w:val="20"/>
        </w:rPr>
      </w:pPr>
      <w:r w:rsidRPr="00073429">
        <w:rPr>
          <w:rStyle w:val="normaltextrun"/>
          <w:rFonts w:ascii="Arial" w:hAnsi="Arial" w:cs="Arial"/>
          <w:b/>
          <w:bCs/>
          <w:color w:val="000000"/>
          <w:sz w:val="20"/>
          <w:szCs w:val="20"/>
          <w:shd w:val="clear" w:color="auto" w:fill="FFFFFF"/>
        </w:rPr>
        <w:t>Prépa intégrée :</w:t>
      </w:r>
      <w:r w:rsidRPr="00073429">
        <w:rPr>
          <w:rStyle w:val="normaltextrun"/>
          <w:rFonts w:ascii="Arial" w:hAnsi="Arial" w:cs="Arial"/>
          <w:color w:val="000000"/>
          <w:sz w:val="20"/>
          <w:szCs w:val="20"/>
          <w:shd w:val="clear" w:color="auto" w:fill="FFFFFF"/>
        </w:rPr>
        <w:t xml:space="preserve"> </w:t>
      </w:r>
      <w:r w:rsidRPr="00073429">
        <w:rPr>
          <w:rFonts w:ascii="Arial" w:hAnsi="Arial" w:cs="Arial"/>
          <w:sz w:val="20"/>
          <w:szCs w:val="20"/>
        </w:rPr>
        <w:t>La prépa intégrée constitue la première étape de la formation dans les écoles d’ingénieurs en 5 ans. L'objectif est d'apporter un socle commun dans les enseignements scientifiques. À l'issue, l'étudiant intègre sur contrôle continu le cycle ingénieur de l'école qu'il a rejointe après le bac.</w:t>
      </w:r>
    </w:p>
    <w:p w14:paraId="2B6CFEBB" w14:textId="1D8660E1" w:rsidR="002D1B73" w:rsidRPr="00073429" w:rsidRDefault="002D1B73" w:rsidP="002D1B73">
      <w:pPr>
        <w:rPr>
          <w:sz w:val="20"/>
          <w:szCs w:val="20"/>
        </w:rPr>
      </w:pPr>
      <w:r w:rsidRPr="00073429">
        <w:rPr>
          <w:rFonts w:ascii="Arial" w:hAnsi="Arial" w:cs="Arial"/>
          <w:sz w:val="20"/>
          <w:szCs w:val="20"/>
        </w:rPr>
        <w:t>À lire sur Onisep.fr</w:t>
      </w:r>
      <w:r w:rsidRPr="00073429">
        <w:rPr>
          <w:rFonts w:ascii="Arial" w:hAnsi="Arial" w:cs="Arial"/>
          <w:b/>
          <w:bCs/>
          <w:sz w:val="20"/>
          <w:szCs w:val="20"/>
        </w:rPr>
        <w:t xml:space="preserve"> : </w:t>
      </w:r>
      <w:r w:rsidRPr="00073429">
        <w:rPr>
          <w:rFonts w:ascii="Arial" w:hAnsi="Arial" w:cs="Arial"/>
          <w:sz w:val="20"/>
          <w:szCs w:val="20"/>
        </w:rPr>
        <w:t xml:space="preserve">Les prépas intégrées en école d’ingénieurs </w:t>
      </w:r>
      <w:hyperlink r:id="rId18" w:history="1">
        <w:r w:rsidR="003365E4">
          <w:rPr>
            <w:rStyle w:val="Lienhypertexte"/>
            <w:rFonts w:ascii="Arial" w:hAnsi="Arial" w:cs="Arial"/>
            <w:sz w:val="16"/>
            <w:szCs w:val="16"/>
          </w:rPr>
          <w:t>https://explorer-avenirs.onisep.fr/formation/les-principaux-domaines-de-formation/les-ecoles-d-ingenieurs/les-prepas-integrees-en-ecole-d-ingenieurs</w:t>
        </w:r>
      </w:hyperlink>
    </w:p>
    <w:p w14:paraId="0F750B54" w14:textId="77777777" w:rsidR="002D1B73" w:rsidRPr="00073429" w:rsidRDefault="002D1B73" w:rsidP="002D1B73">
      <w:pPr>
        <w:jc w:val="both"/>
        <w:rPr>
          <w:rFonts w:ascii="Arial" w:hAnsi="Arial" w:cs="Arial"/>
          <w:sz w:val="20"/>
          <w:szCs w:val="20"/>
        </w:rPr>
      </w:pPr>
    </w:p>
    <w:p w14:paraId="18404AA4" w14:textId="77777777" w:rsidR="002D1B73" w:rsidRPr="00073429" w:rsidRDefault="002D1B73" w:rsidP="002D1B73">
      <w:pPr>
        <w:spacing w:after="120"/>
        <w:jc w:val="both"/>
        <w:rPr>
          <w:rFonts w:ascii="Arial" w:hAnsi="Arial" w:cs="Arial"/>
          <w:sz w:val="20"/>
          <w:szCs w:val="20"/>
        </w:rPr>
      </w:pPr>
      <w:r w:rsidRPr="00073429">
        <w:rPr>
          <w:rStyle w:val="normaltextrun"/>
          <w:rFonts w:ascii="Arial" w:hAnsi="Arial" w:cs="Arial"/>
          <w:b/>
          <w:bCs/>
          <w:color w:val="000000"/>
          <w:sz w:val="20"/>
          <w:szCs w:val="20"/>
          <w:shd w:val="clear" w:color="auto" w:fill="FFFFFF"/>
        </w:rPr>
        <w:t xml:space="preserve">Cycle préparatoire commun : </w:t>
      </w:r>
      <w:r w:rsidRPr="00073429">
        <w:rPr>
          <w:rFonts w:ascii="Arial" w:hAnsi="Arial" w:cs="Arial"/>
          <w:sz w:val="20"/>
          <w:szCs w:val="20"/>
        </w:rPr>
        <w:t>Les CPC (cycles préparatoires communs), moins connus que les CPGE (classes préparatoires aux grandes écoles), mènent aux écoles d'ingénieurs partenaires du cycle. Un moyen de s'assurer dès le lycée une place en école tout en se laissant un peu de marge de manœuvre concernant l'école ou la spécialité visée.</w:t>
      </w:r>
    </w:p>
    <w:p w14:paraId="757C4719" w14:textId="688A89D5" w:rsidR="002D1B73" w:rsidRPr="00073429" w:rsidRDefault="002D1B73" w:rsidP="002D1B73">
      <w:pPr>
        <w:rPr>
          <w:sz w:val="20"/>
          <w:szCs w:val="20"/>
        </w:rPr>
      </w:pPr>
      <w:r w:rsidRPr="00073429">
        <w:rPr>
          <w:rFonts w:ascii="Arial" w:hAnsi="Arial" w:cs="Arial"/>
          <w:sz w:val="20"/>
          <w:szCs w:val="20"/>
        </w:rPr>
        <w:t>À lire sur Onisep.fr :</w:t>
      </w:r>
      <w:r w:rsidRPr="00073429">
        <w:rPr>
          <w:rFonts w:ascii="Arial" w:hAnsi="Arial" w:cs="Arial"/>
          <w:b/>
          <w:bCs/>
          <w:sz w:val="20"/>
          <w:szCs w:val="20"/>
        </w:rPr>
        <w:t xml:space="preserve"> </w:t>
      </w:r>
      <w:r w:rsidRPr="00073429">
        <w:rPr>
          <w:rFonts w:ascii="Arial" w:hAnsi="Arial" w:cs="Arial"/>
          <w:sz w:val="20"/>
          <w:szCs w:val="20"/>
        </w:rPr>
        <w:t>Les cycles préparatoires communs aux écoles d’ingénieurs </w:t>
      </w:r>
      <w:hyperlink r:id="rId19" w:history="1">
        <w:r w:rsidR="003365E4">
          <w:rPr>
            <w:rStyle w:val="Lienhypertexte"/>
            <w:rFonts w:ascii="Arial" w:hAnsi="Arial" w:cs="Arial"/>
            <w:sz w:val="16"/>
            <w:szCs w:val="16"/>
            <w:shd w:val="clear" w:color="auto" w:fill="FFFFFF"/>
          </w:rPr>
          <w:t>https://explorer-avenirs.onisep.fr/formation/les-principaux-domaines-de-formation/les-ecoles-d-ingenieurs/les-cycles-preparatoires-communs-aux-ecoles-d-ingenieurs</w:t>
        </w:r>
      </w:hyperlink>
    </w:p>
    <w:p w14:paraId="3BC07BE6" w14:textId="77777777" w:rsidR="002D1B73" w:rsidRPr="00073429" w:rsidRDefault="002D1B73" w:rsidP="002D1B73">
      <w:pPr>
        <w:jc w:val="both"/>
        <w:rPr>
          <w:rStyle w:val="normaltextrun"/>
          <w:color w:val="000000"/>
          <w:sz w:val="20"/>
          <w:szCs w:val="20"/>
          <w:shd w:val="clear" w:color="auto" w:fill="FFFFFF"/>
        </w:rPr>
      </w:pPr>
    </w:p>
    <w:p w14:paraId="625DFD18" w14:textId="77777777" w:rsidR="002D1B73" w:rsidRPr="00073429" w:rsidRDefault="002D1B73" w:rsidP="002D1B73">
      <w:pPr>
        <w:spacing w:after="120"/>
        <w:rPr>
          <w:rStyle w:val="normaltextrun"/>
          <w:rFonts w:ascii="Arial" w:hAnsi="Arial" w:cs="Arial"/>
          <w:b/>
          <w:bCs/>
          <w:color w:val="000000"/>
          <w:sz w:val="20"/>
          <w:szCs w:val="20"/>
          <w:shd w:val="clear" w:color="auto" w:fill="FFFFFF"/>
        </w:rPr>
      </w:pPr>
      <w:r w:rsidRPr="00073429">
        <w:rPr>
          <w:rStyle w:val="normaltextrun"/>
          <w:rFonts w:ascii="Arial" w:hAnsi="Arial" w:cs="Arial"/>
          <w:b/>
          <w:bCs/>
          <w:color w:val="000000"/>
          <w:sz w:val="20"/>
          <w:szCs w:val="20"/>
          <w:shd w:val="clear" w:color="auto" w:fill="FFFFFF"/>
        </w:rPr>
        <w:t xml:space="preserve">CPGE scientifiques : </w:t>
      </w:r>
      <w:r w:rsidRPr="00073429">
        <w:rPr>
          <w:rStyle w:val="normaltextrun"/>
          <w:rFonts w:ascii="Arial" w:hAnsi="Arial" w:cs="Arial"/>
          <w:color w:val="000000"/>
          <w:sz w:val="20"/>
          <w:szCs w:val="20"/>
          <w:shd w:val="clear" w:color="auto" w:fill="FFFFFF"/>
        </w:rPr>
        <w:t>Les bacheliers généraux ont le choix entre 5 prépas scientifiques qui mènent, en 2</w:t>
      </w:r>
      <w:r w:rsidRPr="00073429">
        <w:rPr>
          <w:rStyle w:val="normaltextrun"/>
          <w:rFonts w:ascii="Arial" w:hAnsi="Arial" w:cs="Arial"/>
          <w:color w:val="000000"/>
          <w:sz w:val="20"/>
          <w:szCs w:val="20"/>
          <w:shd w:val="clear" w:color="auto" w:fill="FFFFFF"/>
          <w:vertAlign w:val="superscript"/>
        </w:rPr>
        <w:t>e</w:t>
      </w:r>
      <w:r w:rsidRPr="00073429">
        <w:rPr>
          <w:rStyle w:val="normaltextrun"/>
          <w:rFonts w:ascii="Arial" w:hAnsi="Arial" w:cs="Arial"/>
          <w:color w:val="000000"/>
          <w:sz w:val="20"/>
          <w:szCs w:val="20"/>
          <w:shd w:val="clear" w:color="auto" w:fill="FFFFFF"/>
        </w:rPr>
        <w:t xml:space="preserve"> année, à 6 filières avec chacune sa dominante. À choisir selon ses matières préférées et les écoles envisagées.</w:t>
      </w:r>
    </w:p>
    <w:p w14:paraId="4AC37A0E" w14:textId="77777777" w:rsidR="002D1B73" w:rsidRPr="00073429" w:rsidRDefault="002D1B73" w:rsidP="002D1B73">
      <w:pPr>
        <w:pStyle w:val="Paragraphedeliste"/>
        <w:numPr>
          <w:ilvl w:val="0"/>
          <w:numId w:val="3"/>
        </w:numPr>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BCPST (Biologie, chimie, physique et sciences de la Terre)</w:t>
      </w:r>
    </w:p>
    <w:p w14:paraId="482E39FC" w14:textId="77777777" w:rsidR="002D1B73" w:rsidRPr="00073429" w:rsidRDefault="002D1B73" w:rsidP="002D1B73">
      <w:pPr>
        <w:pStyle w:val="Paragraphedeliste"/>
        <w:numPr>
          <w:ilvl w:val="0"/>
          <w:numId w:val="3"/>
        </w:numPr>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MP2I (Mathématiques, physique, ingénierie et informatique) en 1</w:t>
      </w:r>
      <w:r w:rsidRPr="00073429">
        <w:rPr>
          <w:rStyle w:val="normaltextrun"/>
          <w:rFonts w:ascii="Arial" w:hAnsi="Arial" w:cs="Arial"/>
          <w:color w:val="000000"/>
          <w:sz w:val="20"/>
          <w:szCs w:val="20"/>
          <w:shd w:val="clear" w:color="auto" w:fill="FFFFFF"/>
          <w:vertAlign w:val="superscript"/>
        </w:rPr>
        <w:t>re</w:t>
      </w:r>
      <w:r w:rsidRPr="00073429">
        <w:rPr>
          <w:rStyle w:val="normaltextrun"/>
          <w:rFonts w:ascii="Arial" w:hAnsi="Arial" w:cs="Arial"/>
          <w:color w:val="000000"/>
          <w:sz w:val="20"/>
          <w:szCs w:val="20"/>
          <w:shd w:val="clear" w:color="auto" w:fill="FFFFFF"/>
        </w:rPr>
        <w:t xml:space="preserve"> année (2</w:t>
      </w:r>
      <w:r w:rsidRPr="00073429">
        <w:rPr>
          <w:rStyle w:val="normaltextrun"/>
          <w:rFonts w:ascii="Arial" w:hAnsi="Arial" w:cs="Arial"/>
          <w:color w:val="000000"/>
          <w:sz w:val="20"/>
          <w:szCs w:val="20"/>
          <w:shd w:val="clear" w:color="auto" w:fill="FFFFFF"/>
          <w:vertAlign w:val="superscript"/>
        </w:rPr>
        <w:t>e</w:t>
      </w:r>
      <w:r w:rsidRPr="00073429">
        <w:rPr>
          <w:rStyle w:val="normaltextrun"/>
          <w:rFonts w:ascii="Arial" w:hAnsi="Arial" w:cs="Arial"/>
          <w:color w:val="000000"/>
          <w:sz w:val="20"/>
          <w:szCs w:val="20"/>
          <w:shd w:val="clear" w:color="auto" w:fill="FFFFFF"/>
        </w:rPr>
        <w:t xml:space="preserve"> année : MPI, MP ou PSI)</w:t>
      </w:r>
    </w:p>
    <w:p w14:paraId="30735CA7" w14:textId="77777777" w:rsidR="002D1B73" w:rsidRPr="00073429" w:rsidRDefault="002D1B73" w:rsidP="002D1B73">
      <w:pPr>
        <w:pStyle w:val="Paragraphedeliste"/>
        <w:numPr>
          <w:ilvl w:val="0"/>
          <w:numId w:val="3"/>
        </w:numPr>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MPSI (Mathématiques, physique et sciences de l’ingénieur) en 1</w:t>
      </w:r>
      <w:r w:rsidRPr="00073429">
        <w:rPr>
          <w:rStyle w:val="normaltextrun"/>
          <w:rFonts w:ascii="Arial" w:hAnsi="Arial" w:cs="Arial"/>
          <w:color w:val="000000"/>
          <w:sz w:val="20"/>
          <w:szCs w:val="20"/>
          <w:shd w:val="clear" w:color="auto" w:fill="FFFFFF"/>
          <w:vertAlign w:val="superscript"/>
        </w:rPr>
        <w:t>re</w:t>
      </w:r>
      <w:r w:rsidRPr="00073429">
        <w:rPr>
          <w:rStyle w:val="normaltextrun"/>
          <w:rFonts w:ascii="Arial" w:hAnsi="Arial" w:cs="Arial"/>
          <w:color w:val="000000"/>
          <w:sz w:val="20"/>
          <w:szCs w:val="20"/>
          <w:shd w:val="clear" w:color="auto" w:fill="FFFFFF"/>
        </w:rPr>
        <w:t xml:space="preserve"> année (2</w:t>
      </w:r>
      <w:r w:rsidRPr="00073429">
        <w:rPr>
          <w:rStyle w:val="normaltextrun"/>
          <w:rFonts w:ascii="Arial" w:hAnsi="Arial" w:cs="Arial"/>
          <w:color w:val="000000"/>
          <w:sz w:val="20"/>
          <w:szCs w:val="20"/>
          <w:shd w:val="clear" w:color="auto" w:fill="FFFFFF"/>
          <w:vertAlign w:val="superscript"/>
        </w:rPr>
        <w:t>e</w:t>
      </w:r>
      <w:r w:rsidRPr="00073429">
        <w:rPr>
          <w:rStyle w:val="normaltextrun"/>
          <w:rFonts w:ascii="Arial" w:hAnsi="Arial" w:cs="Arial"/>
          <w:color w:val="000000"/>
          <w:sz w:val="20"/>
          <w:szCs w:val="20"/>
          <w:shd w:val="clear" w:color="auto" w:fill="FFFFFF"/>
        </w:rPr>
        <w:t xml:space="preserve"> année : MP ou PSI)</w:t>
      </w:r>
    </w:p>
    <w:p w14:paraId="54B63FEB" w14:textId="77777777" w:rsidR="002D1B73" w:rsidRPr="00073429" w:rsidRDefault="002D1B73" w:rsidP="002D1B73">
      <w:pPr>
        <w:pStyle w:val="Paragraphedeliste"/>
        <w:numPr>
          <w:ilvl w:val="0"/>
          <w:numId w:val="3"/>
        </w:numPr>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PCSI (Physique, chimie et sciences de l’ingénieur) en 1</w:t>
      </w:r>
      <w:r w:rsidRPr="00073429">
        <w:rPr>
          <w:rStyle w:val="normaltextrun"/>
          <w:rFonts w:ascii="Arial" w:hAnsi="Arial" w:cs="Arial"/>
          <w:color w:val="000000"/>
          <w:sz w:val="20"/>
          <w:szCs w:val="20"/>
          <w:shd w:val="clear" w:color="auto" w:fill="FFFFFF"/>
          <w:vertAlign w:val="superscript"/>
        </w:rPr>
        <w:t>re</w:t>
      </w:r>
      <w:r w:rsidRPr="00073429">
        <w:rPr>
          <w:rStyle w:val="normaltextrun"/>
          <w:rFonts w:ascii="Arial" w:hAnsi="Arial" w:cs="Arial"/>
          <w:color w:val="000000"/>
          <w:sz w:val="20"/>
          <w:szCs w:val="20"/>
          <w:shd w:val="clear" w:color="auto" w:fill="FFFFFF"/>
        </w:rPr>
        <w:t xml:space="preserve"> année (2</w:t>
      </w:r>
      <w:r w:rsidRPr="00073429">
        <w:rPr>
          <w:rStyle w:val="normaltextrun"/>
          <w:rFonts w:ascii="Arial" w:hAnsi="Arial" w:cs="Arial"/>
          <w:color w:val="000000"/>
          <w:sz w:val="20"/>
          <w:szCs w:val="20"/>
          <w:shd w:val="clear" w:color="auto" w:fill="FFFFFF"/>
          <w:vertAlign w:val="superscript"/>
        </w:rPr>
        <w:t>e</w:t>
      </w:r>
      <w:r w:rsidRPr="00073429">
        <w:rPr>
          <w:rStyle w:val="normaltextrun"/>
          <w:rFonts w:ascii="Arial" w:hAnsi="Arial" w:cs="Arial"/>
          <w:color w:val="000000"/>
          <w:sz w:val="20"/>
          <w:szCs w:val="20"/>
          <w:shd w:val="clear" w:color="auto" w:fill="FFFFFF"/>
        </w:rPr>
        <w:t xml:space="preserve"> année : PC ou PSI)</w:t>
      </w:r>
    </w:p>
    <w:p w14:paraId="6EBEFE9F" w14:textId="77777777" w:rsidR="002D1B73" w:rsidRPr="00073429" w:rsidRDefault="002D1B73" w:rsidP="002D1B73">
      <w:pPr>
        <w:pStyle w:val="Paragraphedeliste"/>
        <w:numPr>
          <w:ilvl w:val="0"/>
          <w:numId w:val="3"/>
        </w:numPr>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PTSI (Physique, technologie et sciences de l’ingénieur) en 1</w:t>
      </w:r>
      <w:r w:rsidRPr="00073429">
        <w:rPr>
          <w:rStyle w:val="normaltextrun"/>
          <w:rFonts w:ascii="Arial" w:hAnsi="Arial" w:cs="Arial"/>
          <w:color w:val="000000"/>
          <w:sz w:val="20"/>
          <w:szCs w:val="20"/>
          <w:shd w:val="clear" w:color="auto" w:fill="FFFFFF"/>
          <w:vertAlign w:val="superscript"/>
        </w:rPr>
        <w:t>re</w:t>
      </w:r>
      <w:r w:rsidRPr="00073429">
        <w:rPr>
          <w:rStyle w:val="normaltextrun"/>
          <w:rFonts w:ascii="Arial" w:hAnsi="Arial" w:cs="Arial"/>
          <w:color w:val="000000"/>
          <w:sz w:val="20"/>
          <w:szCs w:val="20"/>
          <w:shd w:val="clear" w:color="auto" w:fill="FFFFFF"/>
        </w:rPr>
        <w:t xml:space="preserve"> année (2</w:t>
      </w:r>
      <w:r w:rsidRPr="00073429">
        <w:rPr>
          <w:rStyle w:val="normaltextrun"/>
          <w:rFonts w:ascii="Arial" w:hAnsi="Arial" w:cs="Arial"/>
          <w:color w:val="000000"/>
          <w:sz w:val="20"/>
          <w:szCs w:val="20"/>
          <w:shd w:val="clear" w:color="auto" w:fill="FFFFFF"/>
          <w:vertAlign w:val="superscript"/>
        </w:rPr>
        <w:t>e</w:t>
      </w:r>
      <w:r w:rsidRPr="00073429">
        <w:rPr>
          <w:rStyle w:val="normaltextrun"/>
          <w:rFonts w:ascii="Arial" w:hAnsi="Arial" w:cs="Arial"/>
          <w:color w:val="000000"/>
          <w:sz w:val="20"/>
          <w:szCs w:val="20"/>
          <w:shd w:val="clear" w:color="auto" w:fill="FFFFFF"/>
        </w:rPr>
        <w:t xml:space="preserve"> année : PT ou PSI)</w:t>
      </w:r>
    </w:p>
    <w:p w14:paraId="303B1B50" w14:textId="77777777" w:rsidR="002D1B73" w:rsidRPr="00073429" w:rsidRDefault="002D1B73" w:rsidP="002D1B73">
      <w:pPr>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Les bacheliers STI2D, STL et STAV ont accès à des classes prépa qui leur sont destinées :</w:t>
      </w:r>
    </w:p>
    <w:p w14:paraId="6693A826" w14:textId="77777777" w:rsidR="002D1B73" w:rsidRPr="00073429" w:rsidRDefault="002D1B73" w:rsidP="002D1B73">
      <w:pPr>
        <w:pStyle w:val="Paragraphedeliste"/>
        <w:numPr>
          <w:ilvl w:val="0"/>
          <w:numId w:val="4"/>
        </w:numPr>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TB (technologie et biologie)</w:t>
      </w:r>
    </w:p>
    <w:p w14:paraId="49A69CB6" w14:textId="77777777" w:rsidR="002D1B73" w:rsidRPr="00073429" w:rsidRDefault="002D1B73" w:rsidP="002D1B73">
      <w:pPr>
        <w:pStyle w:val="Paragraphedeliste"/>
        <w:numPr>
          <w:ilvl w:val="0"/>
          <w:numId w:val="4"/>
        </w:numPr>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TPC (technologie, physique et chimie)</w:t>
      </w:r>
    </w:p>
    <w:p w14:paraId="17D6C2F8" w14:textId="77777777" w:rsidR="002D1B73" w:rsidRPr="00073429" w:rsidRDefault="002D1B73" w:rsidP="002D1B73">
      <w:pPr>
        <w:pStyle w:val="Paragraphedeliste"/>
        <w:numPr>
          <w:ilvl w:val="0"/>
          <w:numId w:val="4"/>
        </w:numPr>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TSI (technologie et sciences industrielles)</w:t>
      </w:r>
    </w:p>
    <w:p w14:paraId="25025732" w14:textId="77777777" w:rsidR="002D1B73" w:rsidRPr="00073429" w:rsidRDefault="002D1B73" w:rsidP="002D1B73">
      <w:pPr>
        <w:spacing w:after="120"/>
        <w:rPr>
          <w:rStyle w:val="normaltextrun"/>
          <w:rFonts w:ascii="Arial" w:hAnsi="Arial" w:cs="Arial"/>
          <w:color w:val="000000"/>
          <w:sz w:val="20"/>
          <w:szCs w:val="20"/>
          <w:shd w:val="clear" w:color="auto" w:fill="FFFFFF"/>
        </w:rPr>
      </w:pPr>
      <w:r w:rsidRPr="00073429">
        <w:rPr>
          <w:rStyle w:val="normaltextrun"/>
          <w:rFonts w:ascii="Arial" w:hAnsi="Arial" w:cs="Arial"/>
          <w:color w:val="000000"/>
          <w:sz w:val="20"/>
          <w:szCs w:val="20"/>
          <w:shd w:val="clear" w:color="auto" w:fill="FFFFFF"/>
        </w:rPr>
        <w:t>Certaines prépas TSI accueillent des bacheliers professionnels (3 lycées en France).</w:t>
      </w:r>
    </w:p>
    <w:p w14:paraId="65D7EE5B" w14:textId="2351984D" w:rsidR="002D1B73" w:rsidRPr="00073429" w:rsidRDefault="002D1B73" w:rsidP="002D1B73">
      <w:pPr>
        <w:rPr>
          <w:rStyle w:val="normaltextrun"/>
          <w:rFonts w:ascii="Arial" w:hAnsi="Arial" w:cs="Arial"/>
          <w:color w:val="000000"/>
          <w:sz w:val="20"/>
          <w:szCs w:val="20"/>
          <w:shd w:val="clear" w:color="auto" w:fill="FFFFFF"/>
        </w:rPr>
      </w:pPr>
      <w:r w:rsidRPr="00073429">
        <w:rPr>
          <w:rFonts w:ascii="Arial" w:hAnsi="Arial" w:cs="Arial"/>
          <w:sz w:val="20"/>
          <w:szCs w:val="20"/>
        </w:rPr>
        <w:t>À lire sur Onisep.fr :</w:t>
      </w:r>
      <w:r w:rsidRPr="00073429">
        <w:rPr>
          <w:rFonts w:ascii="Arial" w:hAnsi="Arial" w:cs="Arial"/>
          <w:b/>
          <w:bCs/>
          <w:sz w:val="20"/>
          <w:szCs w:val="20"/>
        </w:rPr>
        <w:t xml:space="preserve"> </w:t>
      </w:r>
      <w:r w:rsidRPr="00073429">
        <w:rPr>
          <w:rStyle w:val="normaltextrun"/>
          <w:rFonts w:ascii="Arial" w:hAnsi="Arial" w:cs="Arial"/>
          <w:color w:val="000000"/>
          <w:sz w:val="20"/>
          <w:szCs w:val="20"/>
          <w:shd w:val="clear" w:color="auto" w:fill="FFFFFF"/>
        </w:rPr>
        <w:t xml:space="preserve">Les prépas scientifiques </w:t>
      </w:r>
      <w:hyperlink r:id="rId20" w:history="1">
        <w:r w:rsidR="003365E4">
          <w:rPr>
            <w:rStyle w:val="Lienhypertexte"/>
            <w:rFonts w:ascii="Arial" w:hAnsi="Arial" w:cs="Arial"/>
            <w:sz w:val="16"/>
            <w:szCs w:val="16"/>
            <w:shd w:val="clear" w:color="auto" w:fill="FFFFFF"/>
          </w:rPr>
          <w:t>https://explorer-avenirs.onisep.fr/formation/apres-le-bac-les-etudes-superieures/les-principales-filieres-d-etudes-superieures/les-cpge-classes-preparatoires-aux-grandes-ecoles/les-prepas-scientifiques</w:t>
        </w:r>
      </w:hyperlink>
      <w:r w:rsidRPr="00073429">
        <w:rPr>
          <w:rStyle w:val="normaltextrun"/>
          <w:rFonts w:ascii="Arial" w:hAnsi="Arial" w:cs="Arial"/>
          <w:color w:val="000000"/>
          <w:sz w:val="20"/>
          <w:szCs w:val="20"/>
          <w:shd w:val="clear" w:color="auto" w:fill="FFFFFF"/>
        </w:rPr>
        <w:t xml:space="preserve"> </w:t>
      </w:r>
    </w:p>
    <w:p w14:paraId="27E0070E" w14:textId="77777777" w:rsidR="002D1B73" w:rsidRPr="00073429" w:rsidRDefault="002D1B73" w:rsidP="002D1B73">
      <w:pPr>
        <w:jc w:val="both"/>
        <w:rPr>
          <w:rStyle w:val="normaltextrun"/>
          <w:rFonts w:ascii="Arial" w:hAnsi="Arial" w:cs="Arial"/>
          <w:color w:val="000000"/>
          <w:sz w:val="20"/>
          <w:szCs w:val="20"/>
          <w:shd w:val="clear" w:color="auto" w:fill="FFFFFF"/>
        </w:rPr>
      </w:pPr>
    </w:p>
    <w:p w14:paraId="587B7070" w14:textId="77777777" w:rsidR="002D1B73" w:rsidRPr="00073429" w:rsidRDefault="002D1B73" w:rsidP="002D1B73">
      <w:pPr>
        <w:spacing w:after="120"/>
        <w:rPr>
          <w:rFonts w:ascii="Arial" w:hAnsi="Arial" w:cs="Arial"/>
          <w:b/>
          <w:bCs/>
          <w:color w:val="000000"/>
          <w:sz w:val="20"/>
          <w:szCs w:val="20"/>
          <w:shd w:val="clear" w:color="auto" w:fill="FFFFFF"/>
        </w:rPr>
      </w:pPr>
      <w:r w:rsidRPr="00073429">
        <w:rPr>
          <w:rStyle w:val="normaltextrun"/>
          <w:rFonts w:ascii="Arial" w:hAnsi="Arial" w:cs="Arial"/>
          <w:b/>
          <w:bCs/>
          <w:color w:val="000000"/>
          <w:sz w:val="20"/>
          <w:szCs w:val="20"/>
          <w:shd w:val="clear" w:color="auto" w:fill="FFFFFF"/>
        </w:rPr>
        <w:t xml:space="preserve">CPES (classes préparatoires aux études supérieures) : </w:t>
      </w:r>
      <w:r w:rsidRPr="00073429">
        <w:rPr>
          <w:rFonts w:ascii="Arial" w:hAnsi="Arial" w:cs="Arial"/>
          <w:sz w:val="20"/>
          <w:szCs w:val="20"/>
        </w:rPr>
        <w:t xml:space="preserve">En 1 an ou 2 ans après le bac, ces classes prépa s’adressent à des titulaires du baccalauréat issus de milieux modestes, souvent méritants et boursiers. Leur objectif : fournir une mise à niveau avant une CPGE ou un accès direct à des écoles d’ingénieurs sans concours. </w:t>
      </w:r>
    </w:p>
    <w:p w14:paraId="1295560D" w14:textId="76B1F061" w:rsidR="002D1B73" w:rsidRPr="00073429" w:rsidRDefault="002D1B73" w:rsidP="002D1B73">
      <w:pPr>
        <w:rPr>
          <w:rStyle w:val="normaltextrun"/>
          <w:rFonts w:ascii="Arial" w:hAnsi="Arial" w:cs="Arial"/>
          <w:color w:val="000000" w:themeColor="text1"/>
          <w:sz w:val="16"/>
          <w:szCs w:val="16"/>
        </w:rPr>
      </w:pPr>
      <w:r w:rsidRPr="00073429">
        <w:rPr>
          <w:rFonts w:ascii="Arial" w:hAnsi="Arial" w:cs="Arial"/>
          <w:sz w:val="20"/>
          <w:szCs w:val="20"/>
        </w:rPr>
        <w:t xml:space="preserve">À lire sur Onisep.fr : </w:t>
      </w:r>
      <w:r w:rsidRPr="00073429">
        <w:rPr>
          <w:rStyle w:val="normaltextrun"/>
          <w:rFonts w:ascii="Arial" w:hAnsi="Arial" w:cs="Arial"/>
          <w:color w:val="000000"/>
          <w:sz w:val="20"/>
          <w:szCs w:val="20"/>
          <w:shd w:val="clear" w:color="auto" w:fill="FFFFFF"/>
        </w:rPr>
        <w:t>Les CPES (classes préparatoires aux études supérieures) </w:t>
      </w:r>
      <w:hyperlink r:id="rId21" w:history="1">
        <w:r w:rsidR="004C7EA6">
          <w:rPr>
            <w:rStyle w:val="Lienhypertexte"/>
            <w:rFonts w:ascii="Arial" w:hAnsi="Arial" w:cs="Arial"/>
            <w:sz w:val="16"/>
            <w:szCs w:val="16"/>
          </w:rPr>
          <w:t>https://explorer-avenirs.onisep.fr/formation/apres-le-bac-les-etudes-superieures/les-principales-filieres-d-etudes-superieures/les-cpes-classes-preparatoires-aux-etudes-superieures/les-cpes-classes-preparatoires-aux-etudes-superieures</w:t>
        </w:r>
      </w:hyperlink>
      <w:r w:rsidRPr="00073429">
        <w:rPr>
          <w:rStyle w:val="normaltextrun"/>
          <w:rFonts w:ascii="Arial" w:hAnsi="Arial" w:cs="Arial"/>
          <w:color w:val="000000" w:themeColor="text1"/>
          <w:sz w:val="16"/>
          <w:szCs w:val="16"/>
        </w:rPr>
        <w:t xml:space="preserve"> </w:t>
      </w:r>
    </w:p>
    <w:p w14:paraId="0612F0A4" w14:textId="77777777" w:rsidR="002D1B73" w:rsidRPr="00073429" w:rsidRDefault="002D1B73" w:rsidP="002D1B73">
      <w:pPr>
        <w:jc w:val="both"/>
        <w:rPr>
          <w:rStyle w:val="normaltextrun"/>
          <w:color w:val="000000"/>
          <w:sz w:val="20"/>
          <w:szCs w:val="20"/>
          <w:shd w:val="clear" w:color="auto" w:fill="FFFFFF"/>
        </w:rPr>
      </w:pPr>
    </w:p>
    <w:p w14:paraId="1FA674BC" w14:textId="77777777" w:rsidR="002D1B73" w:rsidRPr="00073429" w:rsidRDefault="002D1B73" w:rsidP="002D1B73">
      <w:pPr>
        <w:rPr>
          <w:rStyle w:val="normaltextrun"/>
          <w:rFonts w:ascii="Arial" w:hAnsi="Arial" w:cs="Arial"/>
          <w:b/>
          <w:bCs/>
          <w:color w:val="000000" w:themeColor="text1"/>
          <w:sz w:val="20"/>
          <w:szCs w:val="20"/>
        </w:rPr>
      </w:pPr>
      <w:r w:rsidRPr="00073429">
        <w:rPr>
          <w:rStyle w:val="normaltextrun"/>
          <w:rFonts w:ascii="Arial" w:hAnsi="Arial" w:cs="Arial"/>
          <w:b/>
          <w:bCs/>
          <w:color w:val="000000" w:themeColor="text1"/>
          <w:sz w:val="20"/>
          <w:szCs w:val="20"/>
        </w:rPr>
        <w:t xml:space="preserve">CUPGE (cycles universitaires préparatoires aux grandes écoles) : </w:t>
      </w:r>
      <w:r w:rsidRPr="00073429">
        <w:rPr>
          <w:rStyle w:val="normaltextrun"/>
          <w:rFonts w:ascii="Arial" w:hAnsi="Arial" w:cs="Arial"/>
          <w:color w:val="000000" w:themeColor="text1"/>
          <w:sz w:val="20"/>
          <w:szCs w:val="20"/>
        </w:rPr>
        <w:t>Quelques universités proposent ce cycle en 2 ans qui permet d’intégrer une école d’ingénieurs rattachée à l’université, de candidater à d’autres écoles ou de poursuivre en L3.</w:t>
      </w:r>
    </w:p>
    <w:p w14:paraId="4FD909C4" w14:textId="77777777" w:rsidR="002D1B73" w:rsidRPr="00073429" w:rsidRDefault="002D1B73" w:rsidP="002D1B73">
      <w:pPr>
        <w:rPr>
          <w:rStyle w:val="normaltextrun"/>
          <w:rFonts w:ascii="Arial" w:hAnsi="Arial" w:cs="Arial"/>
          <w:color w:val="000000" w:themeColor="text1"/>
          <w:sz w:val="20"/>
          <w:szCs w:val="20"/>
        </w:rPr>
      </w:pPr>
    </w:p>
    <w:p w14:paraId="54588A41" w14:textId="77777777" w:rsidR="002D1B73" w:rsidRPr="00073429" w:rsidRDefault="002D1B73" w:rsidP="002D1B73">
      <w:pPr>
        <w:spacing w:after="120"/>
        <w:rPr>
          <w:rStyle w:val="normaltextrun"/>
          <w:rFonts w:ascii="Arial" w:hAnsi="Arial" w:cs="Arial"/>
          <w:b/>
          <w:bCs/>
          <w:color w:val="000000"/>
          <w:sz w:val="20"/>
          <w:szCs w:val="20"/>
          <w:shd w:val="clear" w:color="auto" w:fill="FFFFFF"/>
        </w:rPr>
      </w:pPr>
      <w:r w:rsidRPr="00073429">
        <w:rPr>
          <w:rStyle w:val="normaltextrun"/>
          <w:rFonts w:ascii="Arial" w:hAnsi="Arial" w:cs="Arial"/>
          <w:b/>
          <w:bCs/>
          <w:color w:val="000000"/>
          <w:sz w:val="20"/>
          <w:szCs w:val="20"/>
          <w:shd w:val="clear" w:color="auto" w:fill="FFFFFF"/>
        </w:rPr>
        <w:t xml:space="preserve">Prépas ATS (adaptation technicien supérieur) scientifiques : </w:t>
      </w:r>
      <w:r w:rsidRPr="00073429">
        <w:rPr>
          <w:rStyle w:val="normaltextrun"/>
          <w:rFonts w:ascii="Arial" w:hAnsi="Arial" w:cs="Arial"/>
          <w:color w:val="000000"/>
          <w:sz w:val="20"/>
          <w:szCs w:val="20"/>
          <w:shd w:val="clear" w:color="auto" w:fill="FFFFFF"/>
        </w:rPr>
        <w:t>Il existe 5 prépas ATS, à choisir selon l’école visée : ATS biologie, ATS génie civil, ATS ingénierie industrielle, ATS métiers de la chimie, ATS métiers de l’horticulture et du paysage.</w:t>
      </w:r>
    </w:p>
    <w:p w14:paraId="198A6C74" w14:textId="4BC9594E" w:rsidR="008A04E3" w:rsidRPr="008A04E3" w:rsidRDefault="002D1B73" w:rsidP="008A04E3">
      <w:pPr>
        <w:rPr>
          <w:b/>
          <w:bCs/>
          <w:sz w:val="28"/>
          <w:szCs w:val="28"/>
        </w:rPr>
      </w:pPr>
      <w:r w:rsidRPr="00073429">
        <w:rPr>
          <w:rFonts w:ascii="Arial" w:hAnsi="Arial" w:cs="Arial"/>
          <w:sz w:val="20"/>
          <w:szCs w:val="20"/>
        </w:rPr>
        <w:lastRenderedPageBreak/>
        <w:t>À lire sur Onisep.fr</w:t>
      </w:r>
      <w:r w:rsidRPr="00073429">
        <w:rPr>
          <w:rFonts w:ascii="Arial" w:hAnsi="Arial" w:cs="Arial"/>
          <w:b/>
          <w:bCs/>
          <w:sz w:val="20"/>
          <w:szCs w:val="20"/>
        </w:rPr>
        <w:t xml:space="preserve"> : </w:t>
      </w:r>
      <w:r w:rsidRPr="00073429">
        <w:rPr>
          <w:rStyle w:val="normaltextrun"/>
          <w:rFonts w:ascii="Arial" w:hAnsi="Arial" w:cs="Arial"/>
          <w:color w:val="000000" w:themeColor="text1"/>
          <w:sz w:val="20"/>
          <w:szCs w:val="20"/>
        </w:rPr>
        <w:t>Les prépas ATS scientifiques </w:t>
      </w:r>
      <w:hyperlink r:id="rId22" w:history="1">
        <w:r w:rsidR="004C7EA6">
          <w:rPr>
            <w:rStyle w:val="Lienhypertexte"/>
            <w:rFonts w:ascii="Arial" w:hAnsi="Arial" w:cs="Arial"/>
            <w:sz w:val="16"/>
            <w:szCs w:val="16"/>
          </w:rPr>
          <w:t>https://explorer-avenirs.onisep.fr/formation/apres-le-bac-les-etudes-superieures/les-principales-filieres-d-etudes-superieures/les-cpge-classes-preparatoires-aux-grandes-ecoles/les-prepas-scientifiques/les-prepas-apres-un-bts-ou-un-but-scientifique</w:t>
        </w:r>
      </w:hyperlink>
      <w:r>
        <w:rPr>
          <w:rStyle w:val="normaltextrun"/>
          <w:rFonts w:ascii="Arial" w:hAnsi="Arial" w:cs="Arial"/>
          <w:color w:val="000000" w:themeColor="text1"/>
        </w:rPr>
        <w:t xml:space="preserve"> </w:t>
      </w:r>
    </w:p>
    <w:sectPr w:rsidR="008A04E3" w:rsidRPr="008A04E3" w:rsidSect="00286E4D">
      <w:headerReference w:type="even" r:id="rId23"/>
      <w:headerReference w:type="default" r:id="rId24"/>
      <w:footerReference w:type="default" r:id="rId25"/>
      <w:headerReference w:type="first" r:id="rId26"/>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8C984" w14:textId="77777777" w:rsidR="00186E15" w:rsidRDefault="00186E15" w:rsidP="00607873">
      <w:r>
        <w:separator/>
      </w:r>
    </w:p>
  </w:endnote>
  <w:endnote w:type="continuationSeparator" w:id="0">
    <w:p w14:paraId="266FD2EC" w14:textId="77777777" w:rsidR="00186E15" w:rsidRDefault="00186E15" w:rsidP="00607873">
      <w:r>
        <w:continuationSeparator/>
      </w:r>
    </w:p>
  </w:endnote>
  <w:endnote w:type="continuationNotice" w:id="1">
    <w:p w14:paraId="0928E9CF" w14:textId="77777777" w:rsidR="00186E15" w:rsidRDefault="00186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5C8DA" w14:textId="70B3109D" w:rsidR="00286E4D" w:rsidRDefault="00073429">
    <w:pPr>
      <w:pStyle w:val="Pieddepage"/>
    </w:pPr>
    <w:r>
      <w:rPr>
        <w:noProof/>
      </w:rPr>
      <w:drawing>
        <wp:anchor distT="0" distB="0" distL="114300" distR="114300" simplePos="0" relativeHeight="251662337" behindDoc="0" locked="1" layoutInCell="1" allowOverlap="1" wp14:anchorId="20915D3C" wp14:editId="03B28691">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80024" w14:textId="77777777" w:rsidR="00186E15" w:rsidRDefault="00186E15" w:rsidP="00607873">
      <w:r>
        <w:separator/>
      </w:r>
    </w:p>
  </w:footnote>
  <w:footnote w:type="continuationSeparator" w:id="0">
    <w:p w14:paraId="77ED773E" w14:textId="77777777" w:rsidR="00186E15" w:rsidRDefault="00186E15" w:rsidP="00607873">
      <w:r>
        <w:continuationSeparator/>
      </w:r>
    </w:p>
  </w:footnote>
  <w:footnote w:type="continuationNotice" w:id="1">
    <w:p w14:paraId="05D87352" w14:textId="77777777" w:rsidR="00186E15" w:rsidRDefault="00186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5C8D7" w14:textId="77777777" w:rsidR="00607873" w:rsidRDefault="00000000">
    <w:pPr>
      <w:pStyle w:val="En-tte"/>
    </w:pPr>
    <w:r>
      <w:rPr>
        <w:noProof/>
      </w:rPr>
      <w:pict w14:anchorId="2685C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7" o:spid="_x0000_s1027" type="#_x0000_t75" style="position:absolute;margin-left:0;margin-top:0;width:595.4pt;height:841.9pt;z-index:-251658239;mso-wrap-edited:f;mso-position-horizontal:center;mso-position-horizontal-relative:margin;mso-position-vertical:center;mso-position-vertical-relative:margin" o:allowincell="f">
          <v:imagedata r:id="rId1" o:title="AP_WORD_Slide_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5C8D8" w14:textId="7DC34E32" w:rsidR="00607873" w:rsidRDefault="00073429">
    <w:pPr>
      <w:pStyle w:val="En-tte"/>
    </w:pPr>
    <w:r>
      <w:rPr>
        <w:noProof/>
      </w:rPr>
      <w:drawing>
        <wp:anchor distT="0" distB="0" distL="114300" distR="114300" simplePos="0" relativeHeight="251660289" behindDoc="0" locked="1" layoutInCell="1" allowOverlap="1" wp14:anchorId="489BE1EE" wp14:editId="1F37346A">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5C8DB" w14:textId="77777777" w:rsidR="00607873" w:rsidRDefault="00000000">
    <w:pPr>
      <w:pStyle w:val="En-tte"/>
    </w:pPr>
    <w:r>
      <w:rPr>
        <w:noProof/>
      </w:rPr>
      <w:pict w14:anchorId="2685C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21436" o:spid="_x0000_s1025" type="#_x0000_t75" style="position:absolute;margin-left:0;margin-top:0;width:595.4pt;height:841.9pt;z-index:-251658240;mso-wrap-edited:f;mso-position-horizontal:center;mso-position-horizontal-relative:margin;mso-position-vertical:center;mso-position-vertical-relative:margin" o:allowincell="f">
          <v:imagedata r:id="rId1" o:title="AP_WORD_Slide_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6574"/>
    <w:multiLevelType w:val="hybridMultilevel"/>
    <w:tmpl w:val="A6C456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A080A92"/>
    <w:multiLevelType w:val="hybridMultilevel"/>
    <w:tmpl w:val="81E47E42"/>
    <w:lvl w:ilvl="0" w:tplc="0CCC422A">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A3A0B75"/>
    <w:multiLevelType w:val="hybridMultilevel"/>
    <w:tmpl w:val="894E16B4"/>
    <w:lvl w:ilvl="0" w:tplc="603C64E2">
      <w:start w:val="1"/>
      <w:numFmt w:val="decimal"/>
      <w:lvlText w:val="%1."/>
      <w:lvlJc w:val="left"/>
      <w:pPr>
        <w:ind w:left="720" w:hanging="360"/>
      </w:pPr>
      <w:rPr>
        <w:b/>
        <w:b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0AC72B20"/>
    <w:multiLevelType w:val="hybridMultilevel"/>
    <w:tmpl w:val="59D4B548"/>
    <w:lvl w:ilvl="0" w:tplc="0CCC422A">
      <w:start w:val="1"/>
      <w:numFmt w:val="bullet"/>
      <w:lvlText w:val="-"/>
      <w:lvlJc w:val="left"/>
      <w:pPr>
        <w:ind w:left="720" w:hanging="360"/>
      </w:pPr>
      <w:rPr>
        <w:rFonts w:ascii="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6954CF1"/>
    <w:multiLevelType w:val="hybridMultilevel"/>
    <w:tmpl w:val="1778B260"/>
    <w:lvl w:ilvl="0" w:tplc="AE08109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B3E1961"/>
    <w:multiLevelType w:val="hybridMultilevel"/>
    <w:tmpl w:val="A7B07BE2"/>
    <w:lvl w:ilvl="0" w:tplc="AE08109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DD46B6"/>
    <w:multiLevelType w:val="hybridMultilevel"/>
    <w:tmpl w:val="CAA2438A"/>
    <w:lvl w:ilvl="0" w:tplc="AE081090">
      <w:numFmt w:val="bullet"/>
      <w:lvlText w:val="-"/>
      <w:lvlJc w:val="left"/>
      <w:pPr>
        <w:ind w:left="360" w:hanging="360"/>
      </w:pPr>
      <w:rPr>
        <w:rFonts w:ascii="Arial" w:eastAsiaTheme="minorHAnsi"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697F7F55"/>
    <w:multiLevelType w:val="hybridMultilevel"/>
    <w:tmpl w:val="8C5E99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3307190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9637223">
    <w:abstractNumId w:val="6"/>
  </w:num>
  <w:num w:numId="3" w16cid:durableId="1321233753">
    <w:abstractNumId w:val="7"/>
  </w:num>
  <w:num w:numId="4" w16cid:durableId="88356616">
    <w:abstractNumId w:val="0"/>
  </w:num>
  <w:num w:numId="5" w16cid:durableId="1492090808">
    <w:abstractNumId w:val="1"/>
  </w:num>
  <w:num w:numId="6" w16cid:durableId="1312175546">
    <w:abstractNumId w:val="3"/>
  </w:num>
  <w:num w:numId="7" w16cid:durableId="1620642150">
    <w:abstractNumId w:val="4"/>
  </w:num>
  <w:num w:numId="8" w16cid:durableId="1632010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73"/>
    <w:rsid w:val="00021677"/>
    <w:rsid w:val="00054459"/>
    <w:rsid w:val="00073429"/>
    <w:rsid w:val="000A0DF9"/>
    <w:rsid w:val="000F43DB"/>
    <w:rsid w:val="001026B8"/>
    <w:rsid w:val="00104315"/>
    <w:rsid w:val="00167EB5"/>
    <w:rsid w:val="00186E15"/>
    <w:rsid w:val="00206DE0"/>
    <w:rsid w:val="00210022"/>
    <w:rsid w:val="00214590"/>
    <w:rsid w:val="00286E4D"/>
    <w:rsid w:val="002C28E1"/>
    <w:rsid w:val="002D1B73"/>
    <w:rsid w:val="002F74E2"/>
    <w:rsid w:val="00305503"/>
    <w:rsid w:val="003365E4"/>
    <w:rsid w:val="00355310"/>
    <w:rsid w:val="003E3AFE"/>
    <w:rsid w:val="003E5498"/>
    <w:rsid w:val="003F5B9A"/>
    <w:rsid w:val="00465703"/>
    <w:rsid w:val="004928B4"/>
    <w:rsid w:val="00496BA5"/>
    <w:rsid w:val="004C7EA6"/>
    <w:rsid w:val="00511066"/>
    <w:rsid w:val="0054099E"/>
    <w:rsid w:val="00576149"/>
    <w:rsid w:val="00583C40"/>
    <w:rsid w:val="00607873"/>
    <w:rsid w:val="006C4D24"/>
    <w:rsid w:val="007740AC"/>
    <w:rsid w:val="007F7FFD"/>
    <w:rsid w:val="00841CD0"/>
    <w:rsid w:val="008A04E3"/>
    <w:rsid w:val="008A769F"/>
    <w:rsid w:val="008D58FC"/>
    <w:rsid w:val="00A1394C"/>
    <w:rsid w:val="00AA7B2C"/>
    <w:rsid w:val="00AF4AAE"/>
    <w:rsid w:val="00BC5D1B"/>
    <w:rsid w:val="00BF2E9B"/>
    <w:rsid w:val="00CF2CDD"/>
    <w:rsid w:val="00CF38E0"/>
    <w:rsid w:val="00D23D1C"/>
    <w:rsid w:val="00D36D47"/>
    <w:rsid w:val="00D52678"/>
    <w:rsid w:val="00DA5306"/>
    <w:rsid w:val="00DA5E6E"/>
    <w:rsid w:val="00ED4915"/>
    <w:rsid w:val="00EE59F3"/>
    <w:rsid w:val="00F61111"/>
    <w:rsid w:val="101BF2D9"/>
    <w:rsid w:val="23F033C4"/>
    <w:rsid w:val="2E44E5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5C8D2"/>
  <w15:chartTrackingRefBased/>
  <w15:docId w15:val="{F7E5B3CF-F289-40F1-BFB0-8D72FA00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character" w:styleId="Lienhypertexte">
    <w:name w:val="Hyperlink"/>
    <w:basedOn w:val="Policepardfaut"/>
    <w:uiPriority w:val="99"/>
    <w:unhideWhenUsed/>
    <w:rsid w:val="002D1B73"/>
    <w:rPr>
      <w:color w:val="0563C1" w:themeColor="hyperlink"/>
      <w:u w:val="single"/>
    </w:rPr>
  </w:style>
  <w:style w:type="paragraph" w:styleId="Paragraphedeliste">
    <w:name w:val="List Paragraph"/>
    <w:basedOn w:val="Normal"/>
    <w:uiPriority w:val="34"/>
    <w:qFormat/>
    <w:rsid w:val="002D1B73"/>
    <w:pPr>
      <w:spacing w:after="160" w:line="256" w:lineRule="auto"/>
      <w:ind w:left="720"/>
      <w:contextualSpacing/>
    </w:pPr>
    <w:rPr>
      <w:sz w:val="22"/>
      <w:szCs w:val="22"/>
    </w:rPr>
  </w:style>
  <w:style w:type="character" w:customStyle="1" w:styleId="normaltextrun">
    <w:name w:val="normaltextrun"/>
    <w:basedOn w:val="Policepardfaut"/>
    <w:rsid w:val="002D1B73"/>
  </w:style>
  <w:style w:type="character" w:styleId="Mentionnonrsolue">
    <w:name w:val="Unresolved Mention"/>
    <w:basedOn w:val="Policepardfaut"/>
    <w:uiPriority w:val="99"/>
    <w:semiHidden/>
    <w:unhideWhenUsed/>
    <w:rsid w:val="00F61111"/>
    <w:rPr>
      <w:color w:val="605E5C"/>
      <w:shd w:val="clear" w:color="auto" w:fill="E1DFDD"/>
    </w:rPr>
  </w:style>
  <w:style w:type="character" w:styleId="Marquedecommentaire">
    <w:name w:val="annotation reference"/>
    <w:basedOn w:val="Policepardfaut"/>
    <w:uiPriority w:val="99"/>
    <w:semiHidden/>
    <w:unhideWhenUsed/>
    <w:rsid w:val="00F61111"/>
    <w:rPr>
      <w:sz w:val="16"/>
      <w:szCs w:val="16"/>
    </w:rPr>
  </w:style>
  <w:style w:type="paragraph" w:styleId="Commentaire">
    <w:name w:val="annotation text"/>
    <w:basedOn w:val="Normal"/>
    <w:link w:val="CommentaireCar"/>
    <w:uiPriority w:val="99"/>
    <w:unhideWhenUsed/>
    <w:rsid w:val="00F61111"/>
    <w:rPr>
      <w:sz w:val="20"/>
      <w:szCs w:val="20"/>
    </w:rPr>
  </w:style>
  <w:style w:type="character" w:customStyle="1" w:styleId="CommentaireCar">
    <w:name w:val="Commentaire Car"/>
    <w:basedOn w:val="Policepardfaut"/>
    <w:link w:val="Commentaire"/>
    <w:uiPriority w:val="99"/>
    <w:rsid w:val="00F61111"/>
    <w:rPr>
      <w:sz w:val="20"/>
      <w:szCs w:val="20"/>
    </w:rPr>
  </w:style>
  <w:style w:type="paragraph" w:styleId="Objetducommentaire">
    <w:name w:val="annotation subject"/>
    <w:basedOn w:val="Commentaire"/>
    <w:next w:val="Commentaire"/>
    <w:link w:val="ObjetducommentaireCar"/>
    <w:uiPriority w:val="99"/>
    <w:semiHidden/>
    <w:unhideWhenUsed/>
    <w:rsid w:val="00F61111"/>
    <w:rPr>
      <w:b/>
      <w:bCs/>
    </w:rPr>
  </w:style>
  <w:style w:type="character" w:customStyle="1" w:styleId="ObjetducommentaireCar">
    <w:name w:val="Objet du commentaire Car"/>
    <w:basedOn w:val="CommentaireCar"/>
    <w:link w:val="Objetducommentaire"/>
    <w:uiPriority w:val="99"/>
    <w:semiHidden/>
    <w:rsid w:val="00F61111"/>
    <w:rPr>
      <w:b/>
      <w:bCs/>
      <w:sz w:val="20"/>
      <w:szCs w:val="20"/>
    </w:rPr>
  </w:style>
  <w:style w:type="paragraph" w:styleId="Textedebulles">
    <w:name w:val="Balloon Text"/>
    <w:basedOn w:val="Normal"/>
    <w:link w:val="TextedebullesCar"/>
    <w:uiPriority w:val="99"/>
    <w:semiHidden/>
    <w:unhideWhenUsed/>
    <w:rsid w:val="00F61111"/>
    <w:rPr>
      <w:rFonts w:ascii="Segoe UI" w:hAnsi="Segoe UI" w:cs="Segoe UI"/>
      <w:sz w:val="18"/>
      <w:szCs w:val="18"/>
    </w:rPr>
  </w:style>
  <w:style w:type="character" w:customStyle="1" w:styleId="TextedebullesCar">
    <w:name w:val="Texte de bulles Car"/>
    <w:basedOn w:val="Policepardfaut"/>
    <w:link w:val="Textedebulles"/>
    <w:uiPriority w:val="99"/>
    <w:semiHidden/>
    <w:rsid w:val="00F61111"/>
    <w:rPr>
      <w:rFonts w:ascii="Segoe UI" w:hAnsi="Segoe UI" w:cs="Segoe UI"/>
      <w:sz w:val="18"/>
      <w:szCs w:val="18"/>
    </w:rPr>
  </w:style>
  <w:style w:type="character" w:styleId="Lienhypertextesuivivisit">
    <w:name w:val="FollowedHyperlink"/>
    <w:basedOn w:val="Policepardfaut"/>
    <w:uiPriority w:val="99"/>
    <w:semiHidden/>
    <w:unhideWhenUsed/>
    <w:rsid w:val="00167E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explorer-avenirs.onisep.fr/formation/les-principaux-domaines-de-formation/les-ecoles-d-ingenieurs/les-prepas-integrees-en-ecole-d-ingenieur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explorer-avenirs.onisep.fr/formation/apres-le-bac-les-etudes-superieures/les-principales-filieres-d-etudes-superieures/les-cpes-classes-preparatoires-aux-etudes-superieures/les-cpes-classes-preparatoires-aux-etudes-superieures"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explorer-avenirs.onisep.fr/formation/les-principaux-domaines-de-formation/les-ecoles-d-ingenieurs/les-differentes-voies-d-acces-en-ecole-d-ingenieu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xplorer-avenirs.onisep.fr/formation/les-principaux-domaines-de-formation/les-ecoles-d-ingenieurs/quiz-ecoles-d-ingenieurs" TargetMode="External"/><Relationship Id="rId20" Type="http://schemas.openxmlformats.org/officeDocument/2006/relationships/hyperlink" Target="https://explorer-avenirs.onisep.fr/formation/apres-le-bac-les-etudes-superieures/les-principales-filieres-d-etudes-superieures/les-cpge-classes-preparatoires-aux-grandes-ecoles/les-prepas-scientifiqu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xplorer-avenirs.onisep.fr/formation/les-principaux-domaines-de-formation/les-ecoles-d-ingenieurs/quiz-ecoles-d-ingenieur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cti-commission.fr"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xplorer-avenirs.onisep.fr/formation/les-principaux-domaines-de-formation/les-ecoles-d-ingenieurs/les-cycles-preparatoires-communs-aux-ecoles-d-ingenieu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econdes-premieres2021-2022.fr/Sites-annexes/Secondes-Premieres-2020-2021/Je-decouvre-l-enseignement-superieur/Comparatif-des-principales-filieres?id=1019043" TargetMode="External"/><Relationship Id="rId22" Type="http://schemas.openxmlformats.org/officeDocument/2006/relationships/hyperlink" Target="https://explorer-avenirs.onisep.fr/formation/apres-le-bac-les-etudes-superieures/les-principales-filieres-d-etudes-superieures/les-cpge-classes-preparatoires-aux-grandes-ecoles/les-prepas-scientifiques/les-prepas-apres-un-bts-ou-un-but-scientifique"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B11744-E778-472D-9260-4E3F58BD5A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1D52D7-F55C-4950-93E3-41C9D773270A}">
  <ds:schemaRefs>
    <ds:schemaRef ds:uri="http://schemas.openxmlformats.org/officeDocument/2006/bibliography"/>
  </ds:schemaRefs>
</ds:datastoreItem>
</file>

<file path=customXml/itemProps3.xml><?xml version="1.0" encoding="utf-8"?>
<ds:datastoreItem xmlns:ds="http://schemas.openxmlformats.org/officeDocument/2006/customXml" ds:itemID="{9E3EA050-0941-4F09-A141-60F2164B375A}">
  <ds:schemaRefs>
    <ds:schemaRef ds:uri="http://schemas.microsoft.com/sharepoint/v3/contenttype/forms"/>
  </ds:schemaRefs>
</ds:datastoreItem>
</file>

<file path=customXml/itemProps4.xml><?xml version="1.0" encoding="utf-8"?>
<ds:datastoreItem xmlns:ds="http://schemas.openxmlformats.org/officeDocument/2006/customXml" ds:itemID="{BB1F632B-AEA8-4AD8-A82A-96BAE4882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2267</Words>
  <Characters>15940</Characters>
  <Application>Microsoft Office Word</Application>
  <DocSecurity>0</DocSecurity>
  <Lines>759</Lines>
  <Paragraphs>387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17820</CharactersWithSpaces>
  <SharedDoc>false</SharedDoc>
  <HLinks>
    <vt:vector size="120" baseType="variant">
      <vt:variant>
        <vt:i4>7667830</vt:i4>
      </vt:variant>
      <vt:variant>
        <vt:i4>57</vt:i4>
      </vt:variant>
      <vt:variant>
        <vt:i4>0</vt:i4>
      </vt:variant>
      <vt:variant>
        <vt:i4>5</vt:i4>
      </vt:variant>
      <vt:variant>
        <vt:lpwstr>https://www.parcoursup.fr/</vt:lpwstr>
      </vt:variant>
      <vt:variant>
        <vt:lpwstr/>
      </vt:variant>
      <vt:variant>
        <vt:i4>7012478</vt:i4>
      </vt:variant>
      <vt:variant>
        <vt:i4>54</vt:i4>
      </vt:variant>
      <vt:variant>
        <vt:i4>0</vt:i4>
      </vt:variant>
      <vt:variant>
        <vt:i4>5</vt:i4>
      </vt:variant>
      <vt:variant>
        <vt:lpwstr>https://www.terminales2021-2022.fr/Sites-annexes/Terminales-2021-2022/Je-souhaite-en-parler/Les-journees-portes-ouvertes-dans-les-etablissements-d-enseignement-superieur?id=951488https://www.terminales2021-2022.fr/Sites-annexes/Terminales-2021-2022/Je-souhaite-en-parler/Les-journees-portes-ouvertes-dans-les-etablissements-d-enseignement-superieur?id=951488</vt:lpwstr>
      </vt:variant>
      <vt:variant>
        <vt:lpwstr/>
      </vt:variant>
      <vt:variant>
        <vt:i4>7602214</vt:i4>
      </vt:variant>
      <vt:variant>
        <vt:i4>51</vt:i4>
      </vt:variant>
      <vt:variant>
        <vt:i4>0</vt:i4>
      </vt:variant>
      <vt:variant>
        <vt:i4>5</vt:i4>
      </vt:variant>
      <vt:variant>
        <vt:lpwstr>https://www.secondes-premieres2021-2022.fr/Sites-annexes/Secondes-Premieres-2020-2021/Je-passe-a-l-action/Les-journees-portes-ouvertes-dans-les-etablissements-d-enseignement-superieur?id=1019050</vt:lpwstr>
      </vt:variant>
      <vt:variant>
        <vt:lpwstr/>
      </vt:variant>
      <vt:variant>
        <vt:i4>2621542</vt:i4>
      </vt:variant>
      <vt:variant>
        <vt:i4>48</vt:i4>
      </vt:variant>
      <vt:variant>
        <vt:i4>0</vt:i4>
      </vt:variant>
      <vt:variant>
        <vt:i4>5</vt:i4>
      </vt:variant>
      <vt:variant>
        <vt:lpwstr>https://www.onisep.fr/Choisir-mes-etudes/Apres-le-bac/Les-journees-portes-ouvertes-2021-2022-dans-l-enseignement-superieur</vt:lpwstr>
      </vt:variant>
      <vt:variant>
        <vt:lpwstr/>
      </vt:variant>
      <vt:variant>
        <vt:i4>1310803</vt:i4>
      </vt:variant>
      <vt:variant>
        <vt:i4>45</vt:i4>
      </vt:variant>
      <vt:variant>
        <vt:i4>0</vt:i4>
      </vt:variant>
      <vt:variant>
        <vt:i4>5</vt:i4>
      </vt:variant>
      <vt:variant>
        <vt:lpwstr>https://oniseptv.onisep.fr/onv/une-ecole-dingenieur-en-apprentissage</vt:lpwstr>
      </vt:variant>
      <vt:variant>
        <vt:lpwstr/>
      </vt:variant>
      <vt:variant>
        <vt:i4>2752550</vt:i4>
      </vt:variant>
      <vt:variant>
        <vt:i4>42</vt:i4>
      </vt:variant>
      <vt:variant>
        <vt:i4>0</vt:i4>
      </vt:variant>
      <vt:variant>
        <vt:i4>5</vt:i4>
      </vt:variant>
      <vt:variant>
        <vt:lpwstr>https://oniseptv.onisep.fr/onv/une-ecole-dingenieur-apres-un-bac-2-ou-3</vt:lpwstr>
      </vt:variant>
      <vt:variant>
        <vt:lpwstr/>
      </vt:variant>
      <vt:variant>
        <vt:i4>1310784</vt:i4>
      </vt:variant>
      <vt:variant>
        <vt:i4>39</vt:i4>
      </vt:variant>
      <vt:variant>
        <vt:i4>0</vt:i4>
      </vt:variant>
      <vt:variant>
        <vt:i4>5</vt:i4>
      </vt:variant>
      <vt:variant>
        <vt:lpwstr>https://www.onisep.fr/Choisir-mes-etudes/Ma-premiere-annee-en-ecole-d-ingenieurs</vt:lpwstr>
      </vt:variant>
      <vt:variant>
        <vt:lpwstr/>
      </vt:variant>
      <vt:variant>
        <vt:i4>3473522</vt:i4>
      </vt:variant>
      <vt:variant>
        <vt:i4>36</vt:i4>
      </vt:variant>
      <vt:variant>
        <vt:i4>0</vt:i4>
      </vt:variant>
      <vt:variant>
        <vt:i4>5</vt:i4>
      </vt:variant>
      <vt:variant>
        <vt:lpwstr>https://oniseptv.onisep.fr/</vt:lpwstr>
      </vt:variant>
      <vt:variant>
        <vt:lpwstr/>
      </vt:variant>
      <vt:variant>
        <vt:i4>7536690</vt:i4>
      </vt:variant>
      <vt:variant>
        <vt:i4>33</vt:i4>
      </vt:variant>
      <vt:variant>
        <vt:i4>0</vt:i4>
      </vt:variant>
      <vt:variant>
        <vt:i4>5</vt:i4>
      </vt:variant>
      <vt:variant>
        <vt:lpwstr>https://www.onisep.fr/Choisir-mes-etudes/Apres-le-bac/Principaux-domaines-d-etudes/Les-ecoles-d-ingenieurs</vt:lpwstr>
      </vt:variant>
      <vt:variant>
        <vt:lpwstr/>
      </vt:variant>
      <vt:variant>
        <vt:i4>786440</vt:i4>
      </vt:variant>
      <vt:variant>
        <vt:i4>30</vt:i4>
      </vt:variant>
      <vt:variant>
        <vt:i4>0</vt:i4>
      </vt:variant>
      <vt:variant>
        <vt:i4>5</vt:i4>
      </vt:variant>
      <vt:variant>
        <vt:lpwstr>https://ingenieur.onisep.fr/</vt:lpwstr>
      </vt:variant>
      <vt:variant>
        <vt:lpwstr/>
      </vt:variant>
      <vt:variant>
        <vt:i4>1835036</vt:i4>
      </vt:variant>
      <vt:variant>
        <vt:i4>27</vt:i4>
      </vt:variant>
      <vt:variant>
        <vt:i4>0</vt:i4>
      </vt:variant>
      <vt:variant>
        <vt:i4>5</vt:i4>
      </vt:variant>
      <vt:variant>
        <vt:lpwstr>https://www.onisep.fr/Choisir-mes-etudes/Apres-le-bac/Organisation-des-etudes-superieures/CPGE-FILIERES/Les-prepas-scientifiques/Les-prepas-ATS-scientifiques</vt:lpwstr>
      </vt:variant>
      <vt:variant>
        <vt:lpwstr/>
      </vt:variant>
      <vt:variant>
        <vt:i4>5963867</vt:i4>
      </vt:variant>
      <vt:variant>
        <vt:i4>24</vt:i4>
      </vt:variant>
      <vt:variant>
        <vt:i4>0</vt:i4>
      </vt:variant>
      <vt:variant>
        <vt:i4>5</vt:i4>
      </vt:variant>
      <vt:variant>
        <vt:lpwstr>https://www.onisep.fr/Choisir-mes-etudes/Apres-le-bac/Organisation-des-etudes-superieures/Les-CPES/Les-CPES-classes-preparatoires-aux-etudes-superieures</vt:lpwstr>
      </vt:variant>
      <vt:variant>
        <vt:lpwstr/>
      </vt:variant>
      <vt:variant>
        <vt:i4>196633</vt:i4>
      </vt:variant>
      <vt:variant>
        <vt:i4>21</vt:i4>
      </vt:variant>
      <vt:variant>
        <vt:i4>0</vt:i4>
      </vt:variant>
      <vt:variant>
        <vt:i4>5</vt:i4>
      </vt:variant>
      <vt:variant>
        <vt:lpwstr>https://www.onisep.fr/Choisir-mes-etudes/Apres-le-bac/Organisation-des-etudes-superieures/CPGE-FILIERES/Les-prepas-scientifiques</vt:lpwstr>
      </vt:variant>
      <vt:variant>
        <vt:lpwstr/>
      </vt:variant>
      <vt:variant>
        <vt:i4>3735663</vt:i4>
      </vt:variant>
      <vt:variant>
        <vt:i4>18</vt:i4>
      </vt:variant>
      <vt:variant>
        <vt:i4>0</vt:i4>
      </vt:variant>
      <vt:variant>
        <vt:i4>5</vt:i4>
      </vt:variant>
      <vt:variant>
        <vt:lpwstr>http://www.onisep.fr/Choisir-mes-etudes/Apres-le-bac/Principaux-domaines-d-etudes/Les-ecoles-d-ingenieurs/Les-cycles-preparatoires-communs-aux-ecoles-d-ingenieurs</vt:lpwstr>
      </vt:variant>
      <vt:variant>
        <vt:lpwstr/>
      </vt:variant>
      <vt:variant>
        <vt:i4>1441816</vt:i4>
      </vt:variant>
      <vt:variant>
        <vt:i4>15</vt:i4>
      </vt:variant>
      <vt:variant>
        <vt:i4>0</vt:i4>
      </vt:variant>
      <vt:variant>
        <vt:i4>5</vt:i4>
      </vt:variant>
      <vt:variant>
        <vt:lpwstr>https://www.onisep.fr/Choisir-mes-etudes/Apres-le-bac/Principaux-domaines-d-etudes/Les-ecoles-d-ingenieurs/Les-prepas-integrees-en-ecole-d-ingenieurs</vt:lpwstr>
      </vt:variant>
      <vt:variant>
        <vt:lpwstr/>
      </vt:variant>
      <vt:variant>
        <vt:i4>3342397</vt:i4>
      </vt:variant>
      <vt:variant>
        <vt:i4>12</vt:i4>
      </vt:variant>
      <vt:variant>
        <vt:i4>0</vt:i4>
      </vt:variant>
      <vt:variant>
        <vt:i4>5</vt:i4>
      </vt:variant>
      <vt:variant>
        <vt:lpwstr>https://www.onisep.fr/Choisir-mes-etudes/Apres-le-bac/Principaux-domaines-d-etudes/Les-ecoles-d-ingenieurs/Les-differentes-voies-d-acces-en-ecole-d-ingenieurs</vt:lpwstr>
      </vt:variant>
      <vt:variant>
        <vt:lpwstr/>
      </vt:variant>
      <vt:variant>
        <vt:i4>7536690</vt:i4>
      </vt:variant>
      <vt:variant>
        <vt:i4>9</vt:i4>
      </vt:variant>
      <vt:variant>
        <vt:i4>0</vt:i4>
      </vt:variant>
      <vt:variant>
        <vt:i4>5</vt:i4>
      </vt:variant>
      <vt:variant>
        <vt:lpwstr>https://www.onisep.fr/Choisir-mes-etudes/Apres-le-bac/Principaux-domaines-d-etudes/Les-ecoles-d-ingenieurs</vt:lpwstr>
      </vt:variant>
      <vt:variant>
        <vt:lpwstr/>
      </vt:variant>
      <vt:variant>
        <vt:i4>3014765</vt:i4>
      </vt:variant>
      <vt:variant>
        <vt:i4>6</vt:i4>
      </vt:variant>
      <vt:variant>
        <vt:i4>0</vt:i4>
      </vt:variant>
      <vt:variant>
        <vt:i4>5</vt:i4>
      </vt:variant>
      <vt:variant>
        <vt:lpwstr>https://www.cti-commission.fr/</vt:lpwstr>
      </vt:variant>
      <vt:variant>
        <vt:lpwstr/>
      </vt:variant>
      <vt:variant>
        <vt:i4>4784155</vt:i4>
      </vt:variant>
      <vt:variant>
        <vt:i4>3</vt:i4>
      </vt:variant>
      <vt:variant>
        <vt:i4>0</vt:i4>
      </vt:variant>
      <vt:variant>
        <vt:i4>5</vt:i4>
      </vt:variant>
      <vt:variant>
        <vt:lpwstr>http://www.secondes-premieres2021-2022.fr/Sites-annexes/Secondes-Premieres-2020-2021/Je-decouvre-l-enseignement-superieur/Comparatif-des-principales-filieres?id=1019043</vt:lpwstr>
      </vt:variant>
      <vt:variant>
        <vt:lpwstr/>
      </vt:variant>
      <vt:variant>
        <vt:i4>7733369</vt:i4>
      </vt:variant>
      <vt:variant>
        <vt:i4>0</vt:i4>
      </vt:variant>
      <vt:variant>
        <vt:i4>0</vt:i4>
      </vt:variant>
      <vt:variant>
        <vt:i4>5</vt:i4>
      </vt:variant>
      <vt:variant>
        <vt:lpwstr>https://www.onisep.fr/Choisir-mes-etudes/Apres-le-bac/Principaux-domaines-d-etudes/Les-ecoles-d-ingenieurs/Quiz-special-ecoles-d-ingenieurs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TOLLA Catherine</cp:lastModifiedBy>
  <cp:revision>23</cp:revision>
  <cp:lastPrinted>2020-05-14T22:17:00Z</cp:lastPrinted>
  <dcterms:created xsi:type="dcterms:W3CDTF">2022-01-10T22:47:00Z</dcterms:created>
  <dcterms:modified xsi:type="dcterms:W3CDTF">2025-06-19T13:25:00Z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